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C9" w:rsidRPr="0058670C" w:rsidRDefault="00ED3DC9" w:rsidP="00ED3DC9">
      <w:pPr>
        <w:shd w:val="clear" w:color="auto" w:fill="FFFFFF"/>
        <w:spacing w:after="0" w:line="360" w:lineRule="exact"/>
        <w:jc w:val="both"/>
        <w:outlineLvl w:val="0"/>
        <w:rPr>
          <w:rFonts w:ascii="Times New Roman" w:eastAsia="Times New Roman" w:hAnsi="Times New Roman" w:cs="Times New Roman"/>
          <w:b/>
          <w:bCs/>
          <w:color w:val="312F2F"/>
          <w:kern w:val="36"/>
          <w:sz w:val="28"/>
          <w:szCs w:val="28"/>
        </w:rPr>
      </w:pPr>
      <w:r w:rsidRPr="0058670C">
        <w:rPr>
          <w:rFonts w:ascii="Times New Roman" w:eastAsia="Times New Roman" w:hAnsi="Times New Roman" w:cs="Times New Roman"/>
          <w:b/>
          <w:bCs/>
          <w:color w:val="312F2F"/>
          <w:kern w:val="36"/>
          <w:sz w:val="28"/>
          <w:szCs w:val="28"/>
        </w:rPr>
        <w:t xml:space="preserve">Công bố </w:t>
      </w:r>
      <w:r w:rsidRPr="00117696">
        <w:rPr>
          <w:rFonts w:ascii="Times New Roman" w:eastAsia="Times New Roman" w:hAnsi="Times New Roman" w:cs="Times New Roman"/>
          <w:b/>
          <w:bCs/>
          <w:color w:val="312F2F"/>
          <w:kern w:val="36"/>
          <w:sz w:val="28"/>
          <w:szCs w:val="28"/>
        </w:rPr>
        <w:t>D</w:t>
      </w:r>
      <w:r w:rsidRPr="0058670C">
        <w:rPr>
          <w:rFonts w:ascii="Times New Roman" w:eastAsia="Times New Roman" w:hAnsi="Times New Roman" w:cs="Times New Roman"/>
          <w:b/>
          <w:bCs/>
          <w:color w:val="312F2F"/>
          <w:kern w:val="36"/>
          <w:sz w:val="28"/>
          <w:szCs w:val="28"/>
        </w:rPr>
        <w:t>anh mục thủ tục hành chính thực hiện tiếp nhận hồ sơ, trả kết quả giải quyết qua dịch vụ bưu chính công ích trên địa bàn tỉnh Thái Nguyên</w:t>
      </w:r>
    </w:p>
    <w:p w:rsidR="00ED3DC9" w:rsidRDefault="00ED3DC9" w:rsidP="00ED3DC9">
      <w:pPr>
        <w:spacing w:after="0" w:line="360" w:lineRule="exact"/>
        <w:jc w:val="both"/>
        <w:rPr>
          <w:rFonts w:ascii="Times New Roman" w:eastAsia="Times New Roman" w:hAnsi="Times New Roman" w:cs="Times New Roman"/>
          <w:color w:val="000000"/>
          <w:sz w:val="28"/>
          <w:szCs w:val="28"/>
          <w:shd w:val="clear" w:color="auto" w:fill="FFFFFF"/>
        </w:rPr>
      </w:pPr>
    </w:p>
    <w:p w:rsidR="00ED3DC9" w:rsidRPr="0058670C" w:rsidRDefault="00ED3DC9" w:rsidP="00ED3DC9">
      <w:pPr>
        <w:spacing w:after="0" w:line="360" w:lineRule="exact"/>
        <w:jc w:val="both"/>
        <w:rPr>
          <w:rFonts w:ascii="Times New Roman" w:eastAsia="Times New Roman" w:hAnsi="Times New Roman" w:cs="Times New Roman"/>
          <w:sz w:val="28"/>
          <w:szCs w:val="28"/>
        </w:rPr>
      </w:pPr>
      <w:r w:rsidRPr="0058670C">
        <w:rPr>
          <w:rFonts w:ascii="Times New Roman" w:eastAsia="Times New Roman" w:hAnsi="Times New Roman" w:cs="Times New Roman"/>
          <w:color w:val="000000"/>
          <w:sz w:val="28"/>
          <w:szCs w:val="28"/>
          <w:shd w:val="clear" w:color="auto" w:fill="FFFFFF"/>
        </w:rPr>
        <w:t>Ngày 4/8/2022, Ủy ban nhân dân tỉnh</w:t>
      </w:r>
      <w:r w:rsidRPr="00117696">
        <w:rPr>
          <w:rFonts w:ascii="Times New Roman" w:eastAsia="Times New Roman" w:hAnsi="Times New Roman" w:cs="Times New Roman"/>
          <w:color w:val="000000"/>
          <w:sz w:val="28"/>
          <w:szCs w:val="28"/>
          <w:shd w:val="clear" w:color="auto" w:fill="FFFFFF"/>
        </w:rPr>
        <w:t xml:space="preserve"> Thái Nguyên</w:t>
      </w:r>
      <w:r w:rsidRPr="0058670C">
        <w:rPr>
          <w:rFonts w:ascii="Times New Roman" w:eastAsia="Times New Roman" w:hAnsi="Times New Roman" w:cs="Times New Roman"/>
          <w:color w:val="000000"/>
          <w:sz w:val="28"/>
          <w:szCs w:val="28"/>
          <w:shd w:val="clear" w:color="auto" w:fill="FFFFFF"/>
        </w:rPr>
        <w:t xml:space="preserve"> ban hành </w:t>
      </w:r>
      <w:hyperlink r:id="rId4" w:history="1">
        <w:r w:rsidRPr="00117696">
          <w:rPr>
            <w:rFonts w:ascii="Times New Roman" w:eastAsia="Times New Roman" w:hAnsi="Times New Roman" w:cs="Times New Roman"/>
            <w:sz w:val="28"/>
            <w:szCs w:val="28"/>
          </w:rPr>
          <w:t>Quyết định số 1821/QĐ-UBND</w:t>
        </w:r>
      </w:hyperlink>
      <w:r w:rsidRPr="0058670C">
        <w:rPr>
          <w:rFonts w:ascii="Times New Roman" w:eastAsia="Times New Roman" w:hAnsi="Times New Roman" w:cs="Times New Roman"/>
          <w:color w:val="000000"/>
          <w:sz w:val="28"/>
          <w:szCs w:val="28"/>
          <w:shd w:val="clear" w:color="auto" w:fill="FFFFFF"/>
        </w:rPr>
        <w:t xml:space="preserve"> về việc Công bố </w:t>
      </w:r>
      <w:r w:rsidRPr="00117696">
        <w:rPr>
          <w:rFonts w:ascii="Times New Roman" w:eastAsia="Times New Roman" w:hAnsi="Times New Roman" w:cs="Times New Roman"/>
          <w:color w:val="000000"/>
          <w:sz w:val="28"/>
          <w:szCs w:val="28"/>
          <w:shd w:val="clear" w:color="auto" w:fill="FFFFFF"/>
        </w:rPr>
        <w:t>D</w:t>
      </w:r>
      <w:r w:rsidRPr="0058670C">
        <w:rPr>
          <w:rFonts w:ascii="Times New Roman" w:eastAsia="Times New Roman" w:hAnsi="Times New Roman" w:cs="Times New Roman"/>
          <w:color w:val="000000"/>
          <w:sz w:val="28"/>
          <w:szCs w:val="28"/>
          <w:shd w:val="clear" w:color="auto" w:fill="FFFFFF"/>
        </w:rPr>
        <w:t>anh mục thủ tục hành chính thực hiện tiếp nhận hồ sơ, trả kết quả giải quyết qua dịch vụ bưu chính công ích trên địa bàn tỉnh Thái Nguyên.</w:t>
      </w:r>
    </w:p>
    <w:p w:rsidR="00ED3DC9" w:rsidRDefault="00ED3DC9" w:rsidP="00ED3DC9">
      <w:pPr>
        <w:shd w:val="clear" w:color="auto" w:fill="FFFFFF"/>
        <w:spacing w:after="0" w:line="360" w:lineRule="exact"/>
        <w:jc w:val="both"/>
        <w:rPr>
          <w:rFonts w:ascii="Times New Roman" w:eastAsia="Times New Roman" w:hAnsi="Times New Roman" w:cs="Times New Roman"/>
          <w:color w:val="000000"/>
          <w:sz w:val="28"/>
          <w:szCs w:val="28"/>
        </w:rPr>
      </w:pPr>
      <w:r w:rsidRPr="0058670C">
        <w:rPr>
          <w:rFonts w:ascii="Times New Roman" w:eastAsia="Times New Roman" w:hAnsi="Times New Roman" w:cs="Times New Roman"/>
          <w:color w:val="000000"/>
          <w:sz w:val="28"/>
          <w:szCs w:val="28"/>
        </w:rPr>
        <w:t xml:space="preserve">Theo Quyết định trên, tổng số thủ tục hành chính thực hiện tiếp nhận hồ sơ, trả kết quả giải quyết qua dịch vụ bưu chính công ích thuộc thẩm quyền của các </w:t>
      </w:r>
      <w:r w:rsidRPr="00117696">
        <w:rPr>
          <w:rFonts w:ascii="Times New Roman" w:eastAsia="Times New Roman" w:hAnsi="Times New Roman" w:cs="Times New Roman"/>
          <w:color w:val="000000"/>
          <w:sz w:val="28"/>
          <w:szCs w:val="28"/>
        </w:rPr>
        <w:t>s</w:t>
      </w:r>
      <w:r w:rsidRPr="0058670C">
        <w:rPr>
          <w:rFonts w:ascii="Times New Roman" w:eastAsia="Times New Roman" w:hAnsi="Times New Roman" w:cs="Times New Roman"/>
          <w:color w:val="000000"/>
          <w:sz w:val="28"/>
          <w:szCs w:val="28"/>
        </w:rPr>
        <w:t>ở, ban, ngành, UBND các huyện, thành phố</w:t>
      </w:r>
      <w:bookmarkStart w:id="0" w:name="_GoBack"/>
      <w:bookmarkEnd w:id="0"/>
      <w:r w:rsidRPr="0058670C">
        <w:rPr>
          <w:rFonts w:ascii="Times New Roman" w:eastAsia="Times New Roman" w:hAnsi="Times New Roman" w:cs="Times New Roman"/>
          <w:color w:val="312F2F"/>
          <w:sz w:val="28"/>
          <w:szCs w:val="28"/>
        </w:rPr>
        <w:t> </w:t>
      </w:r>
      <w:r w:rsidRPr="0058670C">
        <w:rPr>
          <w:rFonts w:ascii="Times New Roman" w:eastAsia="Times New Roman" w:hAnsi="Times New Roman" w:cs="Times New Roman"/>
          <w:color w:val="000000"/>
          <w:sz w:val="28"/>
          <w:szCs w:val="28"/>
        </w:rPr>
        <w:t>trên địa bàn tỉnh là 2</w:t>
      </w:r>
      <w:r w:rsidRPr="00117696">
        <w:rPr>
          <w:rFonts w:ascii="Times New Roman" w:eastAsia="Times New Roman" w:hAnsi="Times New Roman" w:cs="Times New Roman"/>
          <w:color w:val="000000"/>
          <w:sz w:val="28"/>
          <w:szCs w:val="28"/>
        </w:rPr>
        <w:t>35</w:t>
      </w:r>
      <w:r w:rsidRPr="0058670C">
        <w:rPr>
          <w:rFonts w:ascii="Times New Roman" w:eastAsia="Times New Roman" w:hAnsi="Times New Roman" w:cs="Times New Roman"/>
          <w:color w:val="000000"/>
          <w:sz w:val="28"/>
          <w:szCs w:val="28"/>
        </w:rPr>
        <w:t xml:space="preserve"> thủ tục, trong đó Sở </w:t>
      </w:r>
      <w:r w:rsidRPr="00117696">
        <w:rPr>
          <w:rFonts w:ascii="Times New Roman" w:eastAsia="Times New Roman" w:hAnsi="Times New Roman" w:cs="Times New Roman"/>
          <w:color w:val="000000"/>
          <w:sz w:val="28"/>
          <w:szCs w:val="28"/>
        </w:rPr>
        <w:t>Khoa học và Công nghệ</w:t>
      </w:r>
      <w:r w:rsidRPr="0058670C">
        <w:rPr>
          <w:rFonts w:ascii="Times New Roman" w:eastAsia="Times New Roman" w:hAnsi="Times New Roman" w:cs="Times New Roman"/>
          <w:color w:val="000000"/>
          <w:sz w:val="28"/>
          <w:szCs w:val="28"/>
        </w:rPr>
        <w:t> có 0</w:t>
      </w:r>
      <w:r w:rsidRPr="00117696">
        <w:rPr>
          <w:rFonts w:ascii="Times New Roman" w:eastAsia="Times New Roman" w:hAnsi="Times New Roman" w:cs="Times New Roman"/>
          <w:color w:val="000000"/>
          <w:sz w:val="28"/>
          <w:szCs w:val="28"/>
        </w:rPr>
        <w:t>8</w:t>
      </w:r>
      <w:r w:rsidRPr="0058670C">
        <w:rPr>
          <w:rFonts w:ascii="Times New Roman" w:eastAsia="Times New Roman" w:hAnsi="Times New Roman" w:cs="Times New Roman"/>
          <w:color w:val="000000"/>
          <w:sz w:val="28"/>
          <w:szCs w:val="28"/>
        </w:rPr>
        <w:t xml:space="preserve"> thủ tục thuộc 3 lĩnh vực: lĩnh vực </w:t>
      </w:r>
      <w:r w:rsidRPr="00117696">
        <w:rPr>
          <w:rFonts w:ascii="Times New Roman" w:eastAsia="Times New Roman" w:hAnsi="Times New Roman" w:cs="Times New Roman"/>
          <w:color w:val="000000"/>
          <w:sz w:val="28"/>
          <w:szCs w:val="28"/>
        </w:rPr>
        <w:t>Hoạt động khoa học và công nghệ, lĩnh vực Năng lượng nguyên tử, An toàn bức xạ và hạt nhân và lĩnh vực Tiêu chuẩn Đo lường chất lượng.</w:t>
      </w:r>
    </w:p>
    <w:p w:rsidR="00ED3DC9" w:rsidRPr="00117696" w:rsidRDefault="00ED3DC9" w:rsidP="00ED3DC9">
      <w:pPr>
        <w:shd w:val="clear" w:color="auto" w:fill="FFFFFF"/>
        <w:spacing w:after="0" w:line="360" w:lineRule="exact"/>
        <w:jc w:val="both"/>
        <w:rPr>
          <w:rFonts w:ascii="Times New Roman" w:eastAsia="Times New Roman" w:hAnsi="Times New Roman" w:cs="Times New Roman"/>
          <w:color w:val="000000"/>
          <w:sz w:val="28"/>
          <w:szCs w:val="28"/>
        </w:rPr>
      </w:pPr>
    </w:p>
    <w:tbl>
      <w:tblPr>
        <w:tblpPr w:leftFromText="180" w:rightFromText="180" w:vertAnchor="text" w:tblpXSpec="center"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9"/>
        <w:gridCol w:w="959"/>
        <w:gridCol w:w="992"/>
        <w:gridCol w:w="1167"/>
      </w:tblGrid>
      <w:tr w:rsidR="00ED3DC9" w:rsidRPr="00117696" w:rsidTr="00DD6453">
        <w:trPr>
          <w:trHeight w:val="699"/>
          <w:tblHeader/>
        </w:trPr>
        <w:tc>
          <w:tcPr>
            <w:tcW w:w="851" w:type="dxa"/>
            <w:vMerge w:val="restart"/>
            <w:vAlign w:val="center"/>
          </w:tcPr>
          <w:p w:rsidR="00ED3DC9" w:rsidRPr="00117696" w:rsidRDefault="00ED3DC9" w:rsidP="00DD6453">
            <w:pPr>
              <w:tabs>
                <w:tab w:val="left" w:pos="1287"/>
              </w:tabs>
              <w:spacing w:after="0" w:line="240" w:lineRule="auto"/>
              <w:jc w:val="center"/>
              <w:rPr>
                <w:rFonts w:ascii="Times New Roman" w:hAnsi="Times New Roman" w:cs="Times New Roman"/>
                <w:b/>
                <w:sz w:val="28"/>
                <w:szCs w:val="28"/>
              </w:rPr>
            </w:pPr>
            <w:r w:rsidRPr="00117696">
              <w:rPr>
                <w:rFonts w:ascii="Times New Roman" w:hAnsi="Times New Roman" w:cs="Times New Roman"/>
                <w:b/>
                <w:sz w:val="28"/>
                <w:szCs w:val="28"/>
              </w:rPr>
              <w:t>STT</w:t>
            </w:r>
          </w:p>
        </w:tc>
        <w:tc>
          <w:tcPr>
            <w:tcW w:w="6129" w:type="dxa"/>
            <w:vMerge w:val="restart"/>
            <w:vAlign w:val="center"/>
          </w:tcPr>
          <w:p w:rsidR="00ED3DC9" w:rsidRPr="00117696" w:rsidRDefault="00ED3DC9" w:rsidP="00DD6453">
            <w:pPr>
              <w:tabs>
                <w:tab w:val="left" w:pos="1287"/>
              </w:tabs>
              <w:spacing w:before="20" w:after="20" w:line="240" w:lineRule="auto"/>
              <w:jc w:val="both"/>
              <w:rPr>
                <w:rFonts w:ascii="Times New Roman" w:hAnsi="Times New Roman" w:cs="Times New Roman"/>
                <w:b/>
                <w:sz w:val="28"/>
                <w:szCs w:val="28"/>
              </w:rPr>
            </w:pPr>
            <w:r w:rsidRPr="00117696">
              <w:rPr>
                <w:rFonts w:ascii="Times New Roman" w:hAnsi="Times New Roman" w:cs="Times New Roman"/>
                <w:b/>
                <w:sz w:val="28"/>
                <w:szCs w:val="28"/>
              </w:rPr>
              <w:t>Lĩnh vực/Tên thủ tục hành chính</w:t>
            </w:r>
          </w:p>
        </w:tc>
        <w:tc>
          <w:tcPr>
            <w:tcW w:w="3118" w:type="dxa"/>
            <w:gridSpan w:val="3"/>
            <w:vAlign w:val="center"/>
          </w:tcPr>
          <w:p w:rsidR="00ED3DC9" w:rsidRPr="00117696" w:rsidRDefault="00ED3DC9" w:rsidP="00DD6453">
            <w:pPr>
              <w:tabs>
                <w:tab w:val="left" w:pos="1287"/>
              </w:tabs>
              <w:spacing w:after="0" w:line="240" w:lineRule="auto"/>
              <w:jc w:val="center"/>
              <w:rPr>
                <w:rFonts w:ascii="Times New Roman" w:hAnsi="Times New Roman" w:cs="Times New Roman"/>
                <w:b/>
                <w:iCs/>
                <w:sz w:val="28"/>
                <w:szCs w:val="28"/>
              </w:rPr>
            </w:pPr>
            <w:r w:rsidRPr="00117696">
              <w:rPr>
                <w:rFonts w:ascii="Times New Roman" w:hAnsi="Times New Roman" w:cs="Times New Roman"/>
                <w:b/>
                <w:sz w:val="28"/>
                <w:szCs w:val="28"/>
              </w:rPr>
              <w:t>Hình thức thực hiện qua dịch vụ bưu chính công ích</w:t>
            </w:r>
          </w:p>
        </w:tc>
      </w:tr>
      <w:tr w:rsidR="00ED3DC9" w:rsidRPr="00117696" w:rsidTr="00DD6453">
        <w:trPr>
          <w:trHeight w:val="695"/>
          <w:tblHeader/>
        </w:trPr>
        <w:tc>
          <w:tcPr>
            <w:tcW w:w="851" w:type="dxa"/>
            <w:vMerge/>
            <w:vAlign w:val="center"/>
          </w:tcPr>
          <w:p w:rsidR="00ED3DC9" w:rsidRPr="00117696" w:rsidRDefault="00ED3DC9" w:rsidP="00DD6453">
            <w:pPr>
              <w:tabs>
                <w:tab w:val="left" w:pos="1287"/>
              </w:tabs>
              <w:spacing w:after="0" w:line="240" w:lineRule="auto"/>
              <w:jc w:val="center"/>
              <w:rPr>
                <w:rFonts w:ascii="Times New Roman" w:hAnsi="Times New Roman" w:cs="Times New Roman"/>
                <w:b/>
                <w:sz w:val="28"/>
                <w:szCs w:val="28"/>
              </w:rPr>
            </w:pPr>
          </w:p>
        </w:tc>
        <w:tc>
          <w:tcPr>
            <w:tcW w:w="6129" w:type="dxa"/>
            <w:vMerge/>
            <w:vAlign w:val="center"/>
          </w:tcPr>
          <w:p w:rsidR="00ED3DC9" w:rsidRPr="00117696" w:rsidRDefault="00ED3DC9" w:rsidP="00DD6453">
            <w:pPr>
              <w:tabs>
                <w:tab w:val="left" w:pos="1287"/>
              </w:tabs>
              <w:spacing w:before="20" w:after="20" w:line="240" w:lineRule="auto"/>
              <w:jc w:val="both"/>
              <w:rPr>
                <w:rFonts w:ascii="Times New Roman" w:hAnsi="Times New Roman" w:cs="Times New Roman"/>
                <w:b/>
                <w:sz w:val="28"/>
                <w:szCs w:val="28"/>
              </w:rPr>
            </w:pPr>
          </w:p>
        </w:tc>
        <w:tc>
          <w:tcPr>
            <w:tcW w:w="959"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
                <w:iCs/>
                <w:sz w:val="28"/>
                <w:szCs w:val="28"/>
              </w:rPr>
            </w:pPr>
            <w:r w:rsidRPr="00117696">
              <w:rPr>
                <w:rFonts w:ascii="Times New Roman" w:hAnsi="Times New Roman" w:cs="Times New Roman"/>
                <w:b/>
                <w:iCs/>
                <w:sz w:val="28"/>
                <w:szCs w:val="28"/>
              </w:rPr>
              <w:t>Tiếp nhận</w:t>
            </w:r>
          </w:p>
        </w:tc>
        <w:tc>
          <w:tcPr>
            <w:tcW w:w="992"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
                <w:iCs/>
                <w:sz w:val="28"/>
                <w:szCs w:val="28"/>
              </w:rPr>
            </w:pPr>
            <w:r w:rsidRPr="00117696">
              <w:rPr>
                <w:rFonts w:ascii="Times New Roman" w:hAnsi="Times New Roman" w:cs="Times New Roman"/>
                <w:b/>
                <w:iCs/>
                <w:sz w:val="28"/>
                <w:szCs w:val="28"/>
              </w:rPr>
              <w:t>Trả kết quả</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
                <w:iCs/>
                <w:sz w:val="28"/>
                <w:szCs w:val="28"/>
              </w:rPr>
            </w:pPr>
            <w:r w:rsidRPr="00117696">
              <w:rPr>
                <w:rFonts w:ascii="Times New Roman" w:hAnsi="Times New Roman" w:cs="Times New Roman"/>
                <w:b/>
                <w:iCs/>
                <w:sz w:val="28"/>
                <w:szCs w:val="28"/>
              </w:rPr>
              <w:t>Tiếp nhận và trả kết quả</w:t>
            </w:r>
          </w:p>
        </w:tc>
      </w:tr>
      <w:tr w:rsidR="00ED3DC9" w:rsidRPr="00117696" w:rsidTr="00DD6453">
        <w:trPr>
          <w:trHeight w:val="288"/>
        </w:trPr>
        <w:tc>
          <w:tcPr>
            <w:tcW w:w="851" w:type="dxa"/>
            <w:vAlign w:val="center"/>
          </w:tcPr>
          <w:p w:rsidR="00ED3DC9" w:rsidRPr="00117696" w:rsidRDefault="00ED3DC9" w:rsidP="00DD6453">
            <w:pPr>
              <w:spacing w:after="0" w:line="240" w:lineRule="auto"/>
              <w:jc w:val="center"/>
              <w:rPr>
                <w:rFonts w:ascii="Times New Roman" w:hAnsi="Times New Roman" w:cs="Times New Roman"/>
                <w:b/>
                <w:sz w:val="28"/>
                <w:szCs w:val="28"/>
                <w:shd w:val="solid" w:color="FFFFFF" w:fill="auto"/>
              </w:rPr>
            </w:pPr>
            <w:r w:rsidRPr="00117696">
              <w:rPr>
                <w:rStyle w:val="Emphasis"/>
                <w:rFonts w:ascii="Times New Roman" w:hAnsi="Times New Roman" w:cs="Times New Roman"/>
                <w:b/>
                <w:i w:val="0"/>
                <w:sz w:val="28"/>
                <w:szCs w:val="28"/>
              </w:rPr>
              <w:t>I</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
                <w:spacing w:val="-6"/>
                <w:sz w:val="28"/>
                <w:szCs w:val="28"/>
                <w:lang w:val="vi-VN" w:eastAsia="vi-VN"/>
              </w:rPr>
            </w:pPr>
            <w:r w:rsidRPr="00117696">
              <w:rPr>
                <w:rStyle w:val="Emphasis"/>
                <w:rFonts w:ascii="Times New Roman" w:hAnsi="Times New Roman" w:cs="Times New Roman"/>
                <w:b/>
                <w:i w:val="0"/>
                <w:sz w:val="28"/>
                <w:szCs w:val="28"/>
              </w:rPr>
              <w:t>Lĩnh vực Hoạt động khoa học và công nghệ</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shd w:val="solid" w:color="FFFFFF" w:fill="auto"/>
              </w:rPr>
            </w:pPr>
            <w:r w:rsidRPr="00117696">
              <w:rPr>
                <w:rFonts w:ascii="Times New Roman" w:hAnsi="Times New Roman" w:cs="Times New Roman"/>
                <w:bCs/>
                <w:sz w:val="28"/>
                <w:szCs w:val="28"/>
                <w:shd w:val="solid" w:color="FFFFFF" w:fill="auto"/>
              </w:rPr>
              <w:t>1</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trike/>
                <w:sz w:val="28"/>
                <w:szCs w:val="28"/>
                <w:shd w:val="solid" w:color="FFFFFF" w:fill="auto"/>
              </w:rPr>
            </w:pPr>
            <w:r w:rsidRPr="00117696">
              <w:rPr>
                <w:rStyle w:val="Emphasis"/>
                <w:rFonts w:ascii="Times New Roman" w:hAnsi="Times New Roman" w:cs="Times New Roman"/>
                <w:bCs/>
                <w:i w:val="0"/>
                <w:sz w:val="28"/>
                <w:szCs w:val="28"/>
              </w:rPr>
              <w:t>Cấp giấy chứng nhận đăng ký hoạt động lần đầu cho tổ chức khoa học và công nghệ</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pacing w:val="-8"/>
                <w:sz w:val="28"/>
                <w:szCs w:val="28"/>
              </w:rPr>
            </w:pPr>
            <w:r w:rsidRPr="00117696">
              <w:rPr>
                <w:rFonts w:ascii="Times New Roman" w:hAnsi="Times New Roman" w:cs="Times New Roman"/>
                <w:bCs/>
                <w:spacing w:val="-8"/>
                <w:sz w:val="28"/>
                <w:szCs w:val="28"/>
              </w:rPr>
              <w:t>2</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trike/>
                <w:sz w:val="28"/>
                <w:szCs w:val="28"/>
                <w:shd w:val="solid" w:color="FFFFFF" w:fill="auto"/>
              </w:rPr>
            </w:pPr>
            <w:r w:rsidRPr="00117696">
              <w:rPr>
                <w:rStyle w:val="Emphasis"/>
                <w:rFonts w:ascii="Times New Roman" w:hAnsi="Times New Roman" w:cs="Times New Roman"/>
                <w:bCs/>
                <w:i w:val="0"/>
                <w:sz w:val="28"/>
                <w:szCs w:val="28"/>
              </w:rPr>
              <w:t>Thay đổi, bổ sung nội dung giấy chứng nhận đăng ký hoạt động của tổ chức khoa học và công nghệ</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pacing w:val="-6"/>
                <w:sz w:val="28"/>
                <w:szCs w:val="28"/>
              </w:rPr>
            </w:pPr>
            <w:r w:rsidRPr="00117696">
              <w:rPr>
                <w:rFonts w:ascii="Times New Roman" w:hAnsi="Times New Roman" w:cs="Times New Roman"/>
                <w:bCs/>
                <w:spacing w:val="-6"/>
                <w:sz w:val="28"/>
                <w:szCs w:val="28"/>
              </w:rPr>
              <w:t>3</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z w:val="28"/>
                <w:szCs w:val="28"/>
                <w:lang w:val="vi-VN"/>
              </w:rPr>
            </w:pPr>
            <w:r w:rsidRPr="00117696">
              <w:rPr>
                <w:rFonts w:ascii="Times New Roman" w:hAnsi="Times New Roman" w:cs="Times New Roman"/>
                <w:bCs/>
                <w:sz w:val="28"/>
                <w:szCs w:val="28"/>
                <w:lang w:val="vi-VN"/>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
                <w:sz w:val="28"/>
                <w:szCs w:val="28"/>
              </w:rPr>
            </w:pPr>
            <w:r w:rsidRPr="00117696">
              <w:rPr>
                <w:rFonts w:ascii="Times New Roman" w:hAnsi="Times New Roman" w:cs="Times New Roman"/>
                <w:b/>
                <w:sz w:val="28"/>
                <w:szCs w:val="28"/>
              </w:rPr>
              <w:t>II</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
                <w:spacing w:val="-6"/>
                <w:sz w:val="28"/>
                <w:szCs w:val="28"/>
                <w:lang w:val="vi-VN"/>
              </w:rPr>
            </w:pPr>
            <w:r w:rsidRPr="00117696">
              <w:rPr>
                <w:rFonts w:ascii="Times New Roman" w:hAnsi="Times New Roman" w:cs="Times New Roman"/>
                <w:b/>
                <w:spacing w:val="-6"/>
                <w:sz w:val="28"/>
                <w:szCs w:val="28"/>
                <w:lang w:val="vi-VN"/>
              </w:rPr>
              <w:t>Lĩnh vực Năng lượng nguyên tử, An toàn bức xạ và hạt nhân</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4</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z w:val="28"/>
                <w:szCs w:val="28"/>
                <w:lang w:val="vi-VN"/>
              </w:rPr>
            </w:pPr>
            <w:r w:rsidRPr="00117696">
              <w:rPr>
                <w:rFonts w:ascii="Times New Roman" w:hAnsi="Times New Roman" w:cs="Times New Roman"/>
                <w:bCs/>
                <w:sz w:val="28"/>
                <w:szCs w:val="28"/>
                <w:lang w:val="vi-VN"/>
              </w:rPr>
              <w:t>Cấp chứng chỉ nhân viên bức xạ (đối với người phụ trách an toàn cơ sở X-quang chẩn đoán trong y tế)</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pacing w:val="-6"/>
                <w:sz w:val="28"/>
                <w:szCs w:val="28"/>
              </w:rPr>
            </w:pPr>
            <w:r w:rsidRPr="00117696">
              <w:rPr>
                <w:rFonts w:ascii="Times New Roman" w:hAnsi="Times New Roman" w:cs="Times New Roman"/>
                <w:bCs/>
                <w:spacing w:val="-6"/>
                <w:sz w:val="28"/>
                <w:szCs w:val="28"/>
              </w:rPr>
              <w:t>5</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z w:val="28"/>
                <w:szCs w:val="28"/>
                <w:lang w:val="vi-VN"/>
              </w:rPr>
            </w:pPr>
            <w:r w:rsidRPr="00117696">
              <w:rPr>
                <w:rFonts w:ascii="Times New Roman" w:hAnsi="Times New Roman" w:cs="Times New Roman"/>
                <w:bCs/>
                <w:sz w:val="28"/>
                <w:szCs w:val="28"/>
                <w:lang w:val="vi-VN"/>
              </w:rPr>
              <w:t>Cấp giấy phép tiến hành công việc bức xạ  - Sử dụng thiết bị X-quang chẩn đoán trong y tế</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rPr>
          <w:trHeight w:val="726"/>
        </w:trPr>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6</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trike/>
                <w:spacing w:val="-6"/>
                <w:sz w:val="28"/>
                <w:szCs w:val="28"/>
                <w:lang w:val="vi-VN"/>
              </w:rPr>
            </w:pPr>
            <w:r w:rsidRPr="00117696">
              <w:rPr>
                <w:rFonts w:ascii="Times New Roman" w:hAnsi="Times New Roman" w:cs="Times New Roman"/>
                <w:bCs/>
                <w:spacing w:val="-6"/>
                <w:sz w:val="28"/>
                <w:szCs w:val="28"/>
                <w:lang w:val="vi-VN"/>
              </w:rPr>
              <w:t xml:space="preserve">Gia hạn </w:t>
            </w:r>
            <w:r w:rsidRPr="00117696">
              <w:rPr>
                <w:rFonts w:ascii="Times New Roman" w:hAnsi="Times New Roman" w:cs="Times New Roman"/>
                <w:bCs/>
                <w:sz w:val="28"/>
                <w:szCs w:val="28"/>
                <w:lang w:val="vi-VN"/>
              </w:rPr>
              <w:t>giấy phép tiến hành công việc bức xạ - Sử dụng thiết bị X-quang chẩn đoán trong y tế</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shd w:val="solid" w:color="FFFFFF" w:fill="auto"/>
              </w:rPr>
            </w:pPr>
            <w:r w:rsidRPr="00117696">
              <w:rPr>
                <w:rFonts w:ascii="Times New Roman" w:hAnsi="Times New Roman" w:cs="Times New Roman"/>
                <w:bCs/>
                <w:sz w:val="28"/>
                <w:szCs w:val="28"/>
                <w:shd w:val="solid" w:color="FFFFFF" w:fill="auto"/>
              </w:rPr>
              <w:lastRenderedPageBreak/>
              <w:t>7</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z w:val="28"/>
                <w:szCs w:val="28"/>
                <w:lang w:val="vi-VN"/>
              </w:rPr>
            </w:pPr>
            <w:r w:rsidRPr="00117696">
              <w:rPr>
                <w:rFonts w:ascii="Times New Roman" w:hAnsi="Times New Roman" w:cs="Times New Roman"/>
                <w:bCs/>
                <w:sz w:val="28"/>
                <w:szCs w:val="28"/>
                <w:lang w:val="vi-VN"/>
              </w:rPr>
              <w:t>Khai báo thiết bị X-quang chẩn đoán trong y tế</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
                <w:sz w:val="28"/>
                <w:szCs w:val="28"/>
              </w:rPr>
              <w:t>III</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
                <w:sz w:val="28"/>
                <w:szCs w:val="28"/>
                <w:shd w:val="solid" w:color="FFFFFF" w:fill="auto"/>
                <w:lang w:val="vi-VN"/>
              </w:rPr>
            </w:pPr>
            <w:r w:rsidRPr="00117696">
              <w:rPr>
                <w:rStyle w:val="Emphasis"/>
                <w:rFonts w:ascii="Times New Roman" w:hAnsi="Times New Roman" w:cs="Times New Roman"/>
                <w:b/>
                <w:i w:val="0"/>
                <w:sz w:val="28"/>
                <w:szCs w:val="28"/>
              </w:rPr>
              <w:t xml:space="preserve">Lĩnh vực </w:t>
            </w:r>
            <w:r w:rsidRPr="00117696">
              <w:rPr>
                <w:rStyle w:val="Emphasis"/>
                <w:rFonts w:ascii="Times New Roman" w:hAnsi="Times New Roman" w:cs="Times New Roman"/>
                <w:b/>
                <w:i w:val="0"/>
                <w:sz w:val="28"/>
                <w:szCs w:val="28"/>
                <w:lang w:val="vi-VN"/>
              </w:rPr>
              <w:t>T</w:t>
            </w:r>
            <w:r w:rsidRPr="00117696">
              <w:rPr>
                <w:rStyle w:val="Emphasis"/>
                <w:rFonts w:ascii="Times New Roman" w:hAnsi="Times New Roman" w:cs="Times New Roman"/>
                <w:b/>
                <w:i w:val="0"/>
                <w:sz w:val="28"/>
                <w:szCs w:val="28"/>
              </w:rPr>
              <w:t>iêu chuẩn đo lường chất lượng</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r w:rsidR="00ED3DC9" w:rsidRPr="00117696" w:rsidTr="00DD6453">
        <w:tc>
          <w:tcPr>
            <w:tcW w:w="851"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8</w:t>
            </w:r>
          </w:p>
        </w:tc>
        <w:tc>
          <w:tcPr>
            <w:tcW w:w="6129" w:type="dxa"/>
            <w:vAlign w:val="center"/>
          </w:tcPr>
          <w:p w:rsidR="00ED3DC9" w:rsidRPr="00117696" w:rsidRDefault="00ED3DC9" w:rsidP="00DD6453">
            <w:pPr>
              <w:spacing w:before="20" w:after="20" w:line="240" w:lineRule="auto"/>
              <w:jc w:val="both"/>
              <w:rPr>
                <w:rFonts w:ascii="Times New Roman" w:hAnsi="Times New Roman" w:cs="Times New Roman"/>
                <w:bCs/>
                <w:strike/>
                <w:sz w:val="28"/>
                <w:szCs w:val="28"/>
              </w:rPr>
            </w:pPr>
            <w:r w:rsidRPr="00117696">
              <w:rPr>
                <w:rStyle w:val="Emphasis"/>
                <w:rFonts w:ascii="Times New Roman" w:hAnsi="Times New Roman" w:cs="Times New Roman"/>
                <w:bCs/>
                <w:i w:val="0"/>
                <w:sz w:val="28"/>
                <w:szCs w:val="28"/>
              </w:rPr>
              <w:t>Kiểm tra nhà nước về chất lượng đối với sản phẩm,</w:t>
            </w:r>
            <w:r w:rsidRPr="00117696">
              <w:rPr>
                <w:rStyle w:val="Emphasis"/>
                <w:rFonts w:ascii="Times New Roman" w:hAnsi="Times New Roman" w:cs="Times New Roman"/>
                <w:bCs/>
                <w:i w:val="0"/>
                <w:sz w:val="28"/>
                <w:szCs w:val="28"/>
                <w:lang w:val="vi-VN"/>
              </w:rPr>
              <w:t xml:space="preserve"> </w:t>
            </w:r>
            <w:r w:rsidRPr="00117696">
              <w:rPr>
                <w:rStyle w:val="Emphasis"/>
                <w:rFonts w:ascii="Times New Roman" w:hAnsi="Times New Roman" w:cs="Times New Roman"/>
                <w:bCs/>
                <w:i w:val="0"/>
                <w:sz w:val="28"/>
                <w:szCs w:val="28"/>
              </w:rPr>
              <w:t>hàng hóa nhóm 2 nhập khẩu</w:t>
            </w:r>
          </w:p>
        </w:tc>
        <w:tc>
          <w:tcPr>
            <w:tcW w:w="959" w:type="dxa"/>
            <w:vAlign w:val="center"/>
          </w:tcPr>
          <w:p w:rsidR="00ED3DC9" w:rsidRPr="00117696" w:rsidRDefault="00ED3DC9" w:rsidP="00DD6453">
            <w:pPr>
              <w:widowControl w:val="0"/>
              <w:spacing w:after="0" w:line="240" w:lineRule="auto"/>
              <w:jc w:val="center"/>
              <w:rPr>
                <w:rFonts w:ascii="Times New Roman" w:hAnsi="Times New Roman" w:cs="Times New Roman"/>
                <w:bCs/>
                <w:sz w:val="28"/>
                <w:szCs w:val="28"/>
                <w:lang w:val="vi-VN"/>
              </w:rPr>
            </w:pPr>
          </w:p>
        </w:tc>
        <w:tc>
          <w:tcPr>
            <w:tcW w:w="992" w:type="dxa"/>
            <w:vAlign w:val="center"/>
          </w:tcPr>
          <w:p w:rsidR="00ED3DC9" w:rsidRPr="00117696" w:rsidRDefault="00ED3DC9" w:rsidP="00DD6453">
            <w:pPr>
              <w:spacing w:after="0" w:line="240" w:lineRule="auto"/>
              <w:jc w:val="center"/>
              <w:rPr>
                <w:rFonts w:ascii="Times New Roman" w:hAnsi="Times New Roman" w:cs="Times New Roman"/>
                <w:bCs/>
                <w:sz w:val="28"/>
                <w:szCs w:val="28"/>
              </w:rPr>
            </w:pPr>
            <w:r w:rsidRPr="00117696">
              <w:rPr>
                <w:rFonts w:ascii="Times New Roman" w:hAnsi="Times New Roman" w:cs="Times New Roman"/>
                <w:bCs/>
                <w:sz w:val="28"/>
                <w:szCs w:val="28"/>
              </w:rPr>
              <w:t>X</w:t>
            </w:r>
          </w:p>
        </w:tc>
        <w:tc>
          <w:tcPr>
            <w:tcW w:w="1167" w:type="dxa"/>
            <w:vAlign w:val="center"/>
          </w:tcPr>
          <w:p w:rsidR="00ED3DC9" w:rsidRPr="00117696" w:rsidRDefault="00ED3DC9" w:rsidP="00DD6453">
            <w:pPr>
              <w:tabs>
                <w:tab w:val="left" w:pos="1287"/>
              </w:tabs>
              <w:spacing w:after="0" w:line="240" w:lineRule="auto"/>
              <w:jc w:val="center"/>
              <w:rPr>
                <w:rFonts w:ascii="Times New Roman" w:hAnsi="Times New Roman" w:cs="Times New Roman"/>
                <w:bCs/>
                <w:sz w:val="28"/>
                <w:szCs w:val="28"/>
              </w:rPr>
            </w:pPr>
          </w:p>
        </w:tc>
      </w:tr>
    </w:tbl>
    <w:p w:rsidR="00ED3DC9" w:rsidRDefault="00ED3DC9" w:rsidP="00ED3DC9">
      <w:pPr>
        <w:shd w:val="clear" w:color="auto" w:fill="FFFFFF"/>
        <w:spacing w:after="0" w:line="360" w:lineRule="exact"/>
        <w:ind w:firstLine="567"/>
        <w:jc w:val="both"/>
        <w:rPr>
          <w:rFonts w:ascii="Times New Roman" w:hAnsi="Times New Roman" w:cs="Times New Roman"/>
          <w:sz w:val="28"/>
          <w:szCs w:val="28"/>
        </w:rPr>
      </w:pPr>
    </w:p>
    <w:p w:rsidR="00836151" w:rsidRPr="00836151" w:rsidRDefault="00836151" w:rsidP="00836151">
      <w:pPr>
        <w:rPr>
          <w:rFonts w:ascii="Times New Roman" w:hAnsi="Times New Roman" w:cs="Times New Roman"/>
          <w:i/>
          <w:sz w:val="28"/>
          <w:szCs w:val="28"/>
        </w:rPr>
      </w:pPr>
      <w:r w:rsidRPr="00836151">
        <w:rPr>
          <w:rFonts w:ascii="Times New Roman" w:hAnsi="Times New Roman" w:cs="Times New Roman"/>
          <w:i/>
          <w:sz w:val="28"/>
          <w:szCs w:val="28"/>
        </w:rPr>
        <w:t xml:space="preserve">Xem văn bản chi tiết tại đây: </w:t>
      </w:r>
    </w:p>
    <w:p w:rsidR="00836151" w:rsidRPr="00117696" w:rsidRDefault="00836151" w:rsidP="00ED3DC9">
      <w:pPr>
        <w:shd w:val="clear" w:color="auto" w:fill="FFFFFF"/>
        <w:spacing w:after="0" w:line="360" w:lineRule="exact"/>
        <w:ind w:firstLine="567"/>
        <w:jc w:val="both"/>
        <w:rPr>
          <w:rFonts w:ascii="Times New Roman" w:hAnsi="Times New Roman" w:cs="Times New Roman"/>
          <w:sz w:val="28"/>
          <w:szCs w:val="28"/>
        </w:rPr>
      </w:pPr>
    </w:p>
    <w:p w:rsidR="00EA7BF4" w:rsidRDefault="00EA7BF4"/>
    <w:sectPr w:rsidR="00EA7BF4" w:rsidSect="001176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C9"/>
    <w:rsid w:val="007519CC"/>
    <w:rsid w:val="00836151"/>
    <w:rsid w:val="00EA7BF4"/>
    <w:rsid w:val="00ED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4C99"/>
  <w15:docId w15:val="{AC5CD855-5F5E-4CD8-9BF1-CF4C910C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D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DC9"/>
    <w:rPr>
      <w:b/>
      <w:bCs/>
    </w:rPr>
  </w:style>
  <w:style w:type="character" w:styleId="Emphasis">
    <w:name w:val="Emphasis"/>
    <w:basedOn w:val="DefaultParagraphFont"/>
    <w:uiPriority w:val="99"/>
    <w:qFormat/>
    <w:rsid w:val="00ED3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tp.thainguyen.gov.vn/documents/3654256/0/1821a.pdf/c6e393ee-34b8-41c8-a24b-6454956e60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2022-08-11T03:55:00Z</dcterms:created>
  <dcterms:modified xsi:type="dcterms:W3CDTF">2022-08-11T04:17:00Z</dcterms:modified>
</cp:coreProperties>
</file>