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B0FA" w14:textId="77777777" w:rsidR="00FC648E" w:rsidRPr="00FC648E" w:rsidRDefault="00407706" w:rsidP="00BB4380">
      <w:pPr>
        <w:pStyle w:val="body-text"/>
        <w:shd w:val="clear" w:color="auto" w:fill="FFFFFF"/>
        <w:spacing w:before="0" w:beforeAutospacing="0" w:after="0" w:afterAutospacing="0" w:line="340" w:lineRule="exact"/>
        <w:jc w:val="center"/>
        <w:rPr>
          <w:b/>
          <w:color w:val="000000"/>
          <w:sz w:val="28"/>
          <w:szCs w:val="28"/>
        </w:rPr>
      </w:pPr>
      <w:r w:rsidRPr="00FC648E">
        <w:rPr>
          <w:b/>
          <w:color w:val="000000"/>
          <w:sz w:val="28"/>
          <w:szCs w:val="28"/>
        </w:rPr>
        <w:t>BÀI THAM LUẬN</w:t>
      </w:r>
    </w:p>
    <w:p w14:paraId="41D51C9E" w14:textId="77777777" w:rsidR="004F44F0" w:rsidRDefault="004F44F0" w:rsidP="00BB4380">
      <w:pPr>
        <w:spacing w:after="0" w:line="340" w:lineRule="exact"/>
        <w:ind w:firstLine="567"/>
        <w:jc w:val="center"/>
        <w:rPr>
          <w:b/>
        </w:rPr>
      </w:pPr>
      <w:r>
        <w:rPr>
          <w:b/>
        </w:rPr>
        <w:t xml:space="preserve">Công tác kiểm tra, xử lý gian lận về đo lường trong hoạt động </w:t>
      </w:r>
    </w:p>
    <w:p w14:paraId="27B7C346" w14:textId="77777777" w:rsidR="003F5979" w:rsidRDefault="004F44F0" w:rsidP="00BB4380">
      <w:pPr>
        <w:spacing w:after="0" w:line="340" w:lineRule="exact"/>
        <w:ind w:firstLine="567"/>
        <w:jc w:val="center"/>
        <w:rPr>
          <w:b/>
        </w:rPr>
      </w:pPr>
      <w:r>
        <w:rPr>
          <w:b/>
        </w:rPr>
        <w:t xml:space="preserve">sản xuất, </w:t>
      </w:r>
      <w:bookmarkStart w:id="0" w:name="_GoBack"/>
      <w:bookmarkEnd w:id="0"/>
      <w:r>
        <w:rPr>
          <w:b/>
        </w:rPr>
        <w:t>kinh doanh tại tỉnh Thái Nguyên</w:t>
      </w:r>
      <w:r w:rsidR="00D31206">
        <w:rPr>
          <w:b/>
        </w:rPr>
        <w:t>.</w:t>
      </w:r>
    </w:p>
    <w:p w14:paraId="670014DF" w14:textId="77777777" w:rsidR="00C14BAC" w:rsidRDefault="000F3E10" w:rsidP="003F5979">
      <w:pPr>
        <w:spacing w:before="120" w:after="120" w:line="320" w:lineRule="exact"/>
        <w:ind w:firstLine="567"/>
        <w:jc w:val="both"/>
        <w:rPr>
          <w:b/>
        </w:rPr>
      </w:pPr>
      <w:r>
        <w:rPr>
          <w:b/>
          <w:noProof/>
        </w:rPr>
        <mc:AlternateContent>
          <mc:Choice Requires="wps">
            <w:drawing>
              <wp:anchor distT="0" distB="0" distL="114300" distR="114300" simplePos="0" relativeHeight="251658240" behindDoc="0" locked="0" layoutInCell="1" allowOverlap="1" wp14:anchorId="65172F41" wp14:editId="457CB637">
                <wp:simplePos x="0" y="0"/>
                <wp:positionH relativeFrom="column">
                  <wp:posOffset>2275840</wp:posOffset>
                </wp:positionH>
                <wp:positionV relativeFrom="paragraph">
                  <wp:posOffset>29845</wp:posOffset>
                </wp:positionV>
                <wp:extent cx="1423035" cy="0"/>
                <wp:effectExtent l="8890" t="10795" r="635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CF667" id="_x0000_t32" coordsize="21600,21600" o:spt="32" o:oned="t" path="m,l21600,21600e" filled="f">
                <v:path arrowok="t" fillok="f" o:connecttype="none"/>
                <o:lock v:ext="edit" shapetype="t"/>
              </v:shapetype>
              <v:shape id="AutoShape 2" o:spid="_x0000_s1026" type="#_x0000_t32" style="position:absolute;margin-left:179.2pt;margin-top:2.35pt;width:11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bTywEAAHwDAAAOAAAAZHJzL2Uyb0RvYy54bWysU02P0zAQvSPxHyzfadou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"/>
            </w:pict>
          </mc:Fallback>
        </mc:AlternateContent>
      </w:r>
      <w:r w:rsidR="00C14BAC">
        <w:rPr>
          <w:b/>
        </w:rPr>
        <w:t xml:space="preserve">                                              </w:t>
      </w:r>
    </w:p>
    <w:p w14:paraId="4FCB2128" w14:textId="08E578E8" w:rsidR="003F5979" w:rsidRPr="001C3B95" w:rsidRDefault="00C14BAC" w:rsidP="003F5979">
      <w:pPr>
        <w:spacing w:before="120" w:after="120" w:line="320" w:lineRule="exact"/>
        <w:ind w:firstLine="567"/>
        <w:jc w:val="both"/>
        <w:rPr>
          <w:b/>
          <w:i/>
        </w:rPr>
      </w:pPr>
      <w:r w:rsidRPr="001C3B95">
        <w:rPr>
          <w:b/>
          <w:i/>
        </w:rPr>
        <w:t xml:space="preserve">                                         Cục Quản lý thị trường tỉnh Thái Nguyên</w:t>
      </w:r>
    </w:p>
    <w:p w14:paraId="3EC3D55F" w14:textId="77777777" w:rsidR="003F5979" w:rsidRPr="009E1F7D" w:rsidRDefault="00B067BD" w:rsidP="005F2D61">
      <w:pPr>
        <w:spacing w:before="120" w:after="120" w:line="400" w:lineRule="exact"/>
        <w:ind w:firstLine="567"/>
        <w:jc w:val="both"/>
        <w:rPr>
          <w:b/>
          <w:lang w:val="vi-VN"/>
        </w:rPr>
      </w:pPr>
      <w:r>
        <w:rPr>
          <w:b/>
        </w:rPr>
        <w:t>I</w:t>
      </w:r>
      <w:r w:rsidR="003F5979" w:rsidRPr="009E1F7D">
        <w:rPr>
          <w:b/>
          <w:lang w:val="vi-VN"/>
        </w:rPr>
        <w:t>. Đánh giá chung</w:t>
      </w:r>
    </w:p>
    <w:p w14:paraId="26FE3FEE" w14:textId="2DD72D92" w:rsidR="005F3465" w:rsidRDefault="00C84465" w:rsidP="005F3465">
      <w:pPr>
        <w:spacing w:before="120" w:after="120" w:line="400" w:lineRule="exact"/>
        <w:ind w:firstLine="560"/>
        <w:jc w:val="both"/>
        <w:rPr>
          <w:rFonts w:eastAsia="Times New Roman" w:cs="Times New Roman"/>
          <w:szCs w:val="28"/>
        </w:rPr>
      </w:pPr>
      <w:r w:rsidRPr="00C84465">
        <w:rPr>
          <w:rFonts w:eastAsia="Times New Roman" w:cs="Times New Roman"/>
          <w:szCs w:val="28"/>
        </w:rPr>
        <w:t xml:space="preserve">Trong </w:t>
      </w:r>
      <w:r>
        <w:rPr>
          <w:rFonts w:eastAsia="Times New Roman" w:cs="Times New Roman"/>
          <w:szCs w:val="28"/>
        </w:rPr>
        <w:t xml:space="preserve">nhứng </w:t>
      </w:r>
      <w:r w:rsidRPr="00C84465">
        <w:rPr>
          <w:rFonts w:eastAsia="Times New Roman" w:cs="Times New Roman"/>
          <w:szCs w:val="28"/>
        </w:rPr>
        <w:t>năm</w:t>
      </w:r>
      <w:r>
        <w:rPr>
          <w:rFonts w:eastAsia="Times New Roman" w:cs="Times New Roman"/>
          <w:szCs w:val="28"/>
        </w:rPr>
        <w:t xml:space="preserve"> vừa qua</w:t>
      </w:r>
      <w:r w:rsidRPr="00C84465">
        <w:rPr>
          <w:rFonts w:eastAsia="Times New Roman" w:cs="Times New Roman"/>
          <w:szCs w:val="28"/>
        </w:rPr>
        <w:t>, công tác quản lý đo lường của</w:t>
      </w:r>
      <w:r>
        <w:rPr>
          <w:rFonts w:eastAsia="Times New Roman" w:cs="Times New Roman"/>
          <w:szCs w:val="28"/>
        </w:rPr>
        <w:t xml:space="preserve"> các các cơ quan chức năng tỉnh Thái Nguyên đã</w:t>
      </w:r>
      <w:r w:rsidRPr="00C84465">
        <w:rPr>
          <w:rFonts w:eastAsia="Times New Roman" w:cs="Times New Roman"/>
          <w:szCs w:val="28"/>
        </w:rPr>
        <w:t xml:space="preserve"> được nâng cao và có những nét nổi bật đáng kể, đã tăng cường được hiệu lực quản lý nhà nước về đo lường tại địa phương, cũng như góp phần vào việc bảo vệ quyền lợi người tiêu dùng, đảm bảo công bằng xã hội, văn minh thương mại, phục vụ sự nghiệp phát triển kinh tế - xã hội của tỉnh nhà</w:t>
      </w:r>
      <w:r>
        <w:rPr>
          <w:rFonts w:eastAsia="Times New Roman" w:cs="Times New Roman"/>
          <w:szCs w:val="28"/>
        </w:rPr>
        <w:t xml:space="preserve">. </w:t>
      </w:r>
      <w:r w:rsidR="00C40FDE">
        <w:rPr>
          <w:rFonts w:eastAsia="Times New Roman" w:cs="Times New Roman"/>
          <w:szCs w:val="28"/>
        </w:rPr>
        <w:t>Với vai trò là cơ quan thường trực BCĐ 389 tỉnh Thái Nguyên</w:t>
      </w:r>
      <w:r w:rsidR="002E1076">
        <w:rPr>
          <w:rFonts w:eastAsia="Times New Roman" w:cs="Times New Roman"/>
          <w:szCs w:val="28"/>
        </w:rPr>
        <w:t xml:space="preserve"> </w:t>
      </w:r>
      <w:r w:rsidR="002E1076" w:rsidRPr="002E1076">
        <w:rPr>
          <w:rFonts w:eastAsia="Times New Roman" w:cs="Times New Roman"/>
          <w:szCs w:val="28"/>
        </w:rPr>
        <w:t>(Ban chỉ đạo phòng chống buôn lậu, gian lận thương mại và hàng giả tỉnh)</w:t>
      </w:r>
      <w:r w:rsidR="00652EDB">
        <w:rPr>
          <w:rFonts w:eastAsia="Times New Roman" w:cs="Times New Roman"/>
          <w:szCs w:val="28"/>
        </w:rPr>
        <w:t xml:space="preserve">, </w:t>
      </w:r>
      <w:bookmarkStart w:id="1" w:name="_Hlk61597269"/>
      <w:r w:rsidR="00652EDB" w:rsidRPr="00652EDB">
        <w:rPr>
          <w:rFonts w:eastAsia="Times New Roman" w:cs="Times New Roman"/>
          <w:szCs w:val="28"/>
        </w:rPr>
        <w:t>Cục Quản lý thị trường tỉnh Thái Nguyên</w:t>
      </w:r>
      <w:bookmarkEnd w:id="1"/>
      <w:r w:rsidR="00652EDB">
        <w:rPr>
          <w:rFonts w:eastAsia="Times New Roman" w:cs="Times New Roman"/>
          <w:szCs w:val="28"/>
        </w:rPr>
        <w:t xml:space="preserve"> đã phối hợp với </w:t>
      </w:r>
      <w:r w:rsidR="005F3465">
        <w:rPr>
          <w:rFonts w:eastAsia="Times New Roman" w:cs="Times New Roman"/>
          <w:szCs w:val="28"/>
        </w:rPr>
        <w:t>cơ quan quản lý nhà nước về đo lường</w:t>
      </w:r>
      <w:r w:rsidR="00D75D82">
        <w:rPr>
          <w:rFonts w:eastAsia="Times New Roman" w:cs="Times New Roman"/>
          <w:szCs w:val="28"/>
        </w:rPr>
        <w:t>, chất l</w:t>
      </w:r>
      <w:r w:rsidR="001B3520">
        <w:rPr>
          <w:rFonts w:eastAsia="Times New Roman" w:cs="Times New Roman"/>
          <w:szCs w:val="28"/>
        </w:rPr>
        <w:t>ượ</w:t>
      </w:r>
      <w:r w:rsidR="00D75D82">
        <w:rPr>
          <w:rFonts w:eastAsia="Times New Roman" w:cs="Times New Roman"/>
          <w:szCs w:val="28"/>
        </w:rPr>
        <w:t xml:space="preserve">ng </w:t>
      </w:r>
      <w:r w:rsidR="005F3465">
        <w:rPr>
          <w:rFonts w:eastAsia="Times New Roman" w:cs="Times New Roman"/>
          <w:szCs w:val="28"/>
        </w:rPr>
        <w:t xml:space="preserve">là </w:t>
      </w:r>
      <w:r w:rsidR="005F3465" w:rsidRPr="005F3465">
        <w:rPr>
          <w:rFonts w:eastAsia="Times New Roman" w:cs="Times New Roman"/>
          <w:szCs w:val="28"/>
        </w:rPr>
        <w:t xml:space="preserve">Sở Công khoa học Công nghệ tỉnh Thái Nguyên </w:t>
      </w:r>
      <w:r w:rsidR="005F3465">
        <w:rPr>
          <w:rFonts w:eastAsia="Times New Roman" w:cs="Times New Roman"/>
          <w:szCs w:val="28"/>
        </w:rPr>
        <w:t xml:space="preserve">(Chi cục Tiêu chuẩn </w:t>
      </w:r>
      <w:r w:rsidR="006B2577">
        <w:rPr>
          <w:rFonts w:eastAsia="Times New Roman" w:cs="Times New Roman"/>
          <w:szCs w:val="28"/>
        </w:rPr>
        <w:t>Đ</w:t>
      </w:r>
      <w:r w:rsidR="005F3465">
        <w:rPr>
          <w:rFonts w:eastAsia="Times New Roman" w:cs="Times New Roman"/>
          <w:szCs w:val="28"/>
        </w:rPr>
        <w:t xml:space="preserve">o lường </w:t>
      </w:r>
      <w:r w:rsidR="006B2577">
        <w:rPr>
          <w:rFonts w:eastAsia="Times New Roman" w:cs="Times New Roman"/>
          <w:szCs w:val="28"/>
        </w:rPr>
        <w:t>và C</w:t>
      </w:r>
      <w:r w:rsidR="005F3465">
        <w:rPr>
          <w:rFonts w:eastAsia="Times New Roman" w:cs="Times New Roman"/>
          <w:szCs w:val="28"/>
        </w:rPr>
        <w:t xml:space="preserve">hất lượng, </w:t>
      </w:r>
      <w:r w:rsidR="005F3465" w:rsidRPr="005F3465">
        <w:rPr>
          <w:rFonts w:eastAsia="Times New Roman" w:cs="Times New Roman"/>
          <w:szCs w:val="28"/>
        </w:rPr>
        <w:t>Trung tâm Phát triển khoa học và Công nghệ</w:t>
      </w:r>
      <w:r w:rsidR="006B2577">
        <w:rPr>
          <w:rFonts w:eastAsia="Times New Roman" w:cs="Times New Roman"/>
          <w:szCs w:val="28"/>
        </w:rPr>
        <w:t>…</w:t>
      </w:r>
      <w:r w:rsidR="005F3465">
        <w:rPr>
          <w:rFonts w:eastAsia="Times New Roman" w:cs="Times New Roman"/>
          <w:szCs w:val="28"/>
        </w:rPr>
        <w:t xml:space="preserve"> ) và các cơ quan có liên quan </w:t>
      </w:r>
      <w:r w:rsidR="005F3465" w:rsidRPr="005F3465">
        <w:rPr>
          <w:rFonts w:eastAsia="Times New Roman" w:cs="Times New Roman"/>
          <w:szCs w:val="28"/>
        </w:rPr>
        <w:t>tiến hành kiểm tra</w:t>
      </w:r>
      <w:r w:rsidR="005F3465">
        <w:rPr>
          <w:rFonts w:eastAsia="Times New Roman" w:cs="Times New Roman"/>
          <w:szCs w:val="28"/>
        </w:rPr>
        <w:t xml:space="preserve"> về đo lường. chất lượng đối với nhiều nhóm ngành, nghề như: xăng dầu, khí dầu mỏ hóa lỏng, hàng đóng gói sẵn, vàng bạc, đồ chơi trẻ em, mũ bảo hiểm cho người đi xe máy…</w:t>
      </w:r>
      <w:r w:rsidR="005F3465" w:rsidRPr="005F3465">
        <w:rPr>
          <w:rFonts w:eastAsia="Times New Roman" w:cs="Times New Roman"/>
          <w:szCs w:val="28"/>
        </w:rPr>
        <w:t xml:space="preserve"> </w:t>
      </w:r>
      <w:r w:rsidR="005F3465">
        <w:rPr>
          <w:rFonts w:eastAsia="Times New Roman" w:cs="Times New Roman"/>
          <w:szCs w:val="28"/>
        </w:rPr>
        <w:t xml:space="preserve">Đồng thời trong thời gian vừa qua </w:t>
      </w:r>
      <w:bookmarkStart w:id="2" w:name="_Hlk61597532"/>
      <w:r w:rsidR="005F3465" w:rsidRPr="005F3465">
        <w:rPr>
          <w:rFonts w:eastAsia="Times New Roman" w:cs="Times New Roman"/>
          <w:szCs w:val="28"/>
        </w:rPr>
        <w:t>Cục Quản lý thị trường tỉnh Thái Nguyên</w:t>
      </w:r>
      <w:r w:rsidR="005F3465">
        <w:rPr>
          <w:rFonts w:eastAsia="Times New Roman" w:cs="Times New Roman"/>
          <w:szCs w:val="28"/>
        </w:rPr>
        <w:t xml:space="preserve"> </w:t>
      </w:r>
      <w:bookmarkEnd w:id="2"/>
      <w:r w:rsidR="005F3465">
        <w:rPr>
          <w:rFonts w:eastAsia="Times New Roman" w:cs="Times New Roman"/>
          <w:szCs w:val="28"/>
        </w:rPr>
        <w:t xml:space="preserve">cũng đã chủ động trong việc kết hợp giữa kiểm tra </w:t>
      </w:r>
      <w:r w:rsidR="006E0393">
        <w:rPr>
          <w:rFonts w:eastAsia="Times New Roman" w:cs="Times New Roman"/>
          <w:szCs w:val="28"/>
        </w:rPr>
        <w:t xml:space="preserve">về đo lường với các nội dung kiểm tra khác khi tiến hành </w:t>
      </w:r>
      <w:r w:rsidR="00B861AD">
        <w:rPr>
          <w:rFonts w:eastAsia="Times New Roman" w:cs="Times New Roman"/>
          <w:szCs w:val="28"/>
        </w:rPr>
        <w:t xml:space="preserve">thanh tra, </w:t>
      </w:r>
      <w:r w:rsidR="006E0393">
        <w:rPr>
          <w:rFonts w:eastAsia="Times New Roman" w:cs="Times New Roman"/>
          <w:szCs w:val="28"/>
        </w:rPr>
        <w:t>kiểm tra đối với các tổ chức, cá nhân kinh doanh xăng dầu và khí dầu mỏ hóa lòng. Kết quả cụ thể như sau:</w:t>
      </w:r>
    </w:p>
    <w:p w14:paraId="0AE2F32C" w14:textId="6156AD00" w:rsidR="007818F2"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xml:space="preserve">* Số liệu kiểm tra xử lý </w:t>
      </w:r>
      <w:r w:rsidR="007818F2">
        <w:rPr>
          <w:rFonts w:eastAsia="Times New Roman" w:cs="Times New Roman"/>
          <w:szCs w:val="28"/>
        </w:rPr>
        <w:t xml:space="preserve">về </w:t>
      </w:r>
      <w:r w:rsidRPr="00EF6356">
        <w:rPr>
          <w:rFonts w:eastAsia="Times New Roman" w:cs="Times New Roman"/>
          <w:szCs w:val="28"/>
        </w:rPr>
        <w:t>xăng dầu</w:t>
      </w:r>
      <w:r w:rsidR="007818F2">
        <w:rPr>
          <w:rFonts w:eastAsia="Times New Roman" w:cs="Times New Roman"/>
          <w:szCs w:val="28"/>
        </w:rPr>
        <w:t>:</w:t>
      </w:r>
    </w:p>
    <w:p w14:paraId="5C62ACB6" w14:textId="13916D2E" w:rsidR="00EF6356" w:rsidRPr="00EF6356" w:rsidRDefault="007818F2" w:rsidP="00EF6356">
      <w:pPr>
        <w:spacing w:before="120" w:after="120" w:line="400" w:lineRule="exact"/>
        <w:ind w:firstLine="560"/>
        <w:jc w:val="both"/>
        <w:rPr>
          <w:rFonts w:eastAsia="Times New Roman" w:cs="Times New Roman"/>
          <w:szCs w:val="28"/>
        </w:rPr>
      </w:pPr>
      <w:r>
        <w:rPr>
          <w:rFonts w:eastAsia="Times New Roman" w:cs="Times New Roman"/>
          <w:szCs w:val="28"/>
        </w:rPr>
        <w:t>+ N</w:t>
      </w:r>
      <w:r w:rsidR="00EF6356" w:rsidRPr="00EF6356">
        <w:rPr>
          <w:rFonts w:eastAsia="Times New Roman" w:cs="Times New Roman"/>
          <w:szCs w:val="28"/>
        </w:rPr>
        <w:t>ăm 2019:</w:t>
      </w:r>
    </w:p>
    <w:p w14:paraId="5088B73B"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Tổng số vụ kiểm tra: 22 vụ;</w:t>
      </w:r>
    </w:p>
    <w:p w14:paraId="27EA289A"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vụ xử lý: 12 vụ;</w:t>
      </w:r>
    </w:p>
    <w:p w14:paraId="5D247170"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tiền phạt hành chính: 119.300.000 đồng.</w:t>
      </w:r>
    </w:p>
    <w:p w14:paraId="5A20B931" w14:textId="504F00E6" w:rsidR="00EF6356" w:rsidRPr="00EF6356" w:rsidRDefault="007818F2" w:rsidP="00EF6356">
      <w:pPr>
        <w:spacing w:before="120" w:after="120" w:line="400" w:lineRule="exact"/>
        <w:ind w:firstLine="560"/>
        <w:jc w:val="both"/>
        <w:rPr>
          <w:rFonts w:eastAsia="Times New Roman" w:cs="Times New Roman"/>
          <w:szCs w:val="28"/>
        </w:rPr>
      </w:pPr>
      <w:r>
        <w:rPr>
          <w:rFonts w:eastAsia="Times New Roman" w:cs="Times New Roman"/>
          <w:szCs w:val="28"/>
        </w:rPr>
        <w:t>+ N</w:t>
      </w:r>
      <w:r w:rsidR="00EF6356" w:rsidRPr="00EF6356">
        <w:rPr>
          <w:rFonts w:eastAsia="Times New Roman" w:cs="Times New Roman"/>
          <w:szCs w:val="28"/>
        </w:rPr>
        <w:t>ăm 2020:</w:t>
      </w:r>
    </w:p>
    <w:p w14:paraId="346D6F08"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Tổng số vụ kiểm tra: 56 vụ</w:t>
      </w:r>
    </w:p>
    <w:p w14:paraId="654964C3"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vụ xử lý: 14 vụ.</w:t>
      </w:r>
    </w:p>
    <w:p w14:paraId="4BAB8B65"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tiền phạt hành chính: 99.515.408 đồng</w:t>
      </w:r>
    </w:p>
    <w:p w14:paraId="3870A11A" w14:textId="27C2E902" w:rsidR="007818F2"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xml:space="preserve">* Số liệu kiểm tra xử lý </w:t>
      </w:r>
      <w:r w:rsidR="007818F2">
        <w:rPr>
          <w:rFonts w:eastAsia="Times New Roman" w:cs="Times New Roman"/>
          <w:szCs w:val="28"/>
        </w:rPr>
        <w:t xml:space="preserve">về </w:t>
      </w:r>
      <w:r w:rsidRPr="00EF6356">
        <w:rPr>
          <w:rFonts w:eastAsia="Times New Roman" w:cs="Times New Roman"/>
          <w:szCs w:val="28"/>
        </w:rPr>
        <w:t>LPG</w:t>
      </w:r>
      <w:r w:rsidR="007818F2">
        <w:rPr>
          <w:rFonts w:eastAsia="Times New Roman" w:cs="Times New Roman"/>
          <w:szCs w:val="28"/>
        </w:rPr>
        <w:t>:</w:t>
      </w:r>
    </w:p>
    <w:p w14:paraId="0F0F7384" w14:textId="2AF22D5C"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lastRenderedPageBreak/>
        <w:t xml:space="preserve"> </w:t>
      </w:r>
      <w:r w:rsidR="007818F2">
        <w:rPr>
          <w:rFonts w:eastAsia="Times New Roman" w:cs="Times New Roman"/>
          <w:szCs w:val="28"/>
        </w:rPr>
        <w:t>+ N</w:t>
      </w:r>
      <w:r w:rsidRPr="00EF6356">
        <w:rPr>
          <w:rFonts w:eastAsia="Times New Roman" w:cs="Times New Roman"/>
          <w:szCs w:val="28"/>
        </w:rPr>
        <w:t>ăm 2019:</w:t>
      </w:r>
    </w:p>
    <w:p w14:paraId="5ECF4FEA"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Tổng số vụ kiểm tra: 87 vụ</w:t>
      </w:r>
    </w:p>
    <w:p w14:paraId="5239B05A"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vụ xử lý: 36 vụ.</w:t>
      </w:r>
    </w:p>
    <w:p w14:paraId="0A2F5F90"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tiền phạt hành chính: 137.750.000 đồng</w:t>
      </w:r>
    </w:p>
    <w:p w14:paraId="5671DC3F"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Trị giá hàng hóa tịch thu: 28.520.000 đồng</w:t>
      </w:r>
    </w:p>
    <w:p w14:paraId="691B3AEB" w14:textId="562BE723" w:rsidR="00EF6356" w:rsidRPr="00EF6356" w:rsidRDefault="007818F2" w:rsidP="00EF6356">
      <w:pPr>
        <w:spacing w:before="120" w:after="120" w:line="400" w:lineRule="exact"/>
        <w:ind w:firstLine="560"/>
        <w:jc w:val="both"/>
        <w:rPr>
          <w:rFonts w:eastAsia="Times New Roman" w:cs="Times New Roman"/>
          <w:szCs w:val="28"/>
        </w:rPr>
      </w:pPr>
      <w:r>
        <w:rPr>
          <w:rFonts w:eastAsia="Times New Roman" w:cs="Times New Roman"/>
          <w:szCs w:val="28"/>
        </w:rPr>
        <w:t>+ N</w:t>
      </w:r>
      <w:r w:rsidR="00EF6356" w:rsidRPr="00EF6356">
        <w:rPr>
          <w:rFonts w:eastAsia="Times New Roman" w:cs="Times New Roman"/>
          <w:szCs w:val="28"/>
        </w:rPr>
        <w:t>ăm 2020:</w:t>
      </w:r>
    </w:p>
    <w:p w14:paraId="54B04800"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Tổng số vụ kiểm tra: 99 vụ</w:t>
      </w:r>
    </w:p>
    <w:p w14:paraId="09C700CB"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vụ xử lý: 13 vụ.</w:t>
      </w:r>
    </w:p>
    <w:p w14:paraId="32762897" w14:textId="77777777" w:rsidR="00EF6356" w:rsidRP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Số tiền phạt hành chính: 45.000.000 đồng</w:t>
      </w:r>
    </w:p>
    <w:p w14:paraId="32FC10CF" w14:textId="79FFEF36" w:rsidR="00EF6356" w:rsidRDefault="00EF6356" w:rsidP="00EF6356">
      <w:pPr>
        <w:spacing w:before="120" w:after="120" w:line="400" w:lineRule="exact"/>
        <w:ind w:firstLine="560"/>
        <w:jc w:val="both"/>
        <w:rPr>
          <w:rFonts w:eastAsia="Times New Roman" w:cs="Times New Roman"/>
          <w:szCs w:val="28"/>
        </w:rPr>
      </w:pPr>
      <w:r w:rsidRPr="00EF6356">
        <w:rPr>
          <w:rFonts w:eastAsia="Times New Roman" w:cs="Times New Roman"/>
          <w:szCs w:val="28"/>
        </w:rPr>
        <w:t>- Trị giá hàng hóa tịch thu: 16.159.000 đồng</w:t>
      </w:r>
    </w:p>
    <w:p w14:paraId="3C09D6A0" w14:textId="2D77DAE2" w:rsidR="006E0393" w:rsidRDefault="006E0393" w:rsidP="005F3465">
      <w:pPr>
        <w:spacing w:before="120" w:after="120" w:line="400" w:lineRule="exact"/>
        <w:ind w:firstLine="560"/>
        <w:jc w:val="both"/>
        <w:rPr>
          <w:rFonts w:eastAsia="Times New Roman" w:cs="Times New Roman"/>
          <w:szCs w:val="28"/>
        </w:rPr>
      </w:pPr>
      <w:r>
        <w:rPr>
          <w:rFonts w:eastAsia="Times New Roman" w:cs="Times New Roman"/>
          <w:szCs w:val="28"/>
        </w:rPr>
        <w:t xml:space="preserve">Ngoài ra, </w:t>
      </w:r>
      <w:r w:rsidRPr="006E0393">
        <w:rPr>
          <w:rFonts w:eastAsia="Times New Roman" w:cs="Times New Roman"/>
          <w:szCs w:val="28"/>
        </w:rPr>
        <w:t>Cục Quản lý thị trường tỉnh Thái Nguyên</w:t>
      </w:r>
      <w:r>
        <w:rPr>
          <w:rFonts w:eastAsia="Times New Roman" w:cs="Times New Roman"/>
          <w:szCs w:val="28"/>
        </w:rPr>
        <w:t xml:space="preserve"> cũng chủ động phối hợp với các cơ quan </w:t>
      </w:r>
      <w:r w:rsidR="001B3520">
        <w:rPr>
          <w:rFonts w:eastAsia="Times New Roman" w:cs="Times New Roman"/>
          <w:szCs w:val="28"/>
        </w:rPr>
        <w:t xml:space="preserve">chức năng tổ chức </w:t>
      </w:r>
      <w:r>
        <w:rPr>
          <w:rFonts w:eastAsia="Times New Roman" w:cs="Times New Roman"/>
          <w:szCs w:val="28"/>
        </w:rPr>
        <w:t xml:space="preserve">kiểm tra khi </w:t>
      </w:r>
      <w:r w:rsidR="001B3520">
        <w:rPr>
          <w:rFonts w:eastAsia="Times New Roman" w:cs="Times New Roman"/>
          <w:szCs w:val="28"/>
        </w:rPr>
        <w:t>nhận được</w:t>
      </w:r>
      <w:r>
        <w:rPr>
          <w:rFonts w:eastAsia="Times New Roman" w:cs="Times New Roman"/>
          <w:szCs w:val="28"/>
        </w:rPr>
        <w:t xml:space="preserve"> tin báo có các hành vi vi phạm hành chính về đo lường</w:t>
      </w:r>
      <w:r w:rsidR="002B07F0">
        <w:rPr>
          <w:rFonts w:eastAsia="Times New Roman" w:cs="Times New Roman"/>
          <w:szCs w:val="28"/>
        </w:rPr>
        <w:t>.</w:t>
      </w:r>
    </w:p>
    <w:p w14:paraId="5A42F4AC" w14:textId="6FAD106C" w:rsidR="008461C8" w:rsidRPr="00E51C9D" w:rsidRDefault="008461C8" w:rsidP="005F3465">
      <w:pPr>
        <w:spacing w:before="120" w:after="120" w:line="400" w:lineRule="exact"/>
        <w:ind w:firstLine="560"/>
        <w:jc w:val="both"/>
        <w:rPr>
          <w:rFonts w:eastAsia="Times New Roman" w:cs="Times New Roman"/>
          <w:b/>
          <w:bCs/>
          <w:szCs w:val="28"/>
        </w:rPr>
      </w:pPr>
      <w:r w:rsidRPr="00E51C9D">
        <w:rPr>
          <w:rFonts w:eastAsia="Times New Roman" w:cs="Times New Roman"/>
          <w:b/>
          <w:bCs/>
          <w:szCs w:val="28"/>
        </w:rPr>
        <w:t xml:space="preserve">II. Một số </w:t>
      </w:r>
      <w:r w:rsidR="00D75D82" w:rsidRPr="00E51C9D">
        <w:rPr>
          <w:rFonts w:eastAsia="Times New Roman" w:cs="Times New Roman"/>
          <w:b/>
          <w:bCs/>
          <w:szCs w:val="28"/>
        </w:rPr>
        <w:t xml:space="preserve">nguyên nhân và </w:t>
      </w:r>
      <w:r w:rsidRPr="00E51C9D">
        <w:rPr>
          <w:rFonts w:eastAsia="Times New Roman" w:cs="Times New Roman"/>
          <w:b/>
          <w:bCs/>
          <w:szCs w:val="28"/>
        </w:rPr>
        <w:t>khó khăn trong công tác quản lý</w:t>
      </w:r>
    </w:p>
    <w:p w14:paraId="6E98F4DE" w14:textId="2DB43440" w:rsidR="006E0393" w:rsidRDefault="006E0393" w:rsidP="00D75D82">
      <w:pPr>
        <w:spacing w:before="120" w:after="120" w:line="400" w:lineRule="exact"/>
        <w:ind w:firstLine="560"/>
        <w:jc w:val="both"/>
        <w:rPr>
          <w:rFonts w:eastAsia="Times New Roman" w:cs="Times New Roman"/>
          <w:szCs w:val="28"/>
        </w:rPr>
      </w:pPr>
      <w:r w:rsidRPr="006E0393">
        <w:rPr>
          <w:rFonts w:eastAsia="Times New Roman" w:cs="Times New Roman"/>
          <w:szCs w:val="28"/>
        </w:rPr>
        <w:t>Hoạt động buôn lậu, sản xuất, tiêu thụ hàng giả và gian lận thương mại</w:t>
      </w:r>
      <w:r w:rsidR="00D75D82">
        <w:rPr>
          <w:rFonts w:eastAsia="Times New Roman" w:cs="Times New Roman"/>
          <w:szCs w:val="28"/>
        </w:rPr>
        <w:t xml:space="preserve"> nói chung và trong lĩnh vực đo l</w:t>
      </w:r>
      <w:r w:rsidR="0037511A">
        <w:rPr>
          <w:rFonts w:eastAsia="Times New Roman" w:cs="Times New Roman"/>
          <w:szCs w:val="28"/>
        </w:rPr>
        <w:t>ườ</w:t>
      </w:r>
      <w:r w:rsidR="00D75D82">
        <w:rPr>
          <w:rFonts w:eastAsia="Times New Roman" w:cs="Times New Roman"/>
          <w:szCs w:val="28"/>
        </w:rPr>
        <w:t>ng nói riêng</w:t>
      </w:r>
      <w:r w:rsidRPr="006E0393">
        <w:rPr>
          <w:rFonts w:eastAsia="Times New Roman" w:cs="Times New Roman"/>
          <w:szCs w:val="28"/>
        </w:rPr>
        <w:t xml:space="preserve"> diễn biến phức tạp với nhiều phương thức ngày càng tinh vi; cơ quan chức năng còn chưa </w:t>
      </w:r>
      <w:r w:rsidR="0037511A">
        <w:rPr>
          <w:rFonts w:eastAsia="Times New Roman" w:cs="Times New Roman"/>
          <w:szCs w:val="28"/>
        </w:rPr>
        <w:t xml:space="preserve">theo dõi, </w:t>
      </w:r>
      <w:r w:rsidRPr="006E0393">
        <w:rPr>
          <w:rFonts w:eastAsia="Times New Roman" w:cs="Times New Roman"/>
          <w:szCs w:val="28"/>
        </w:rPr>
        <w:t>nắm bắt kịp thời tình hình, diễn biến của các hoạt động này.</w:t>
      </w:r>
    </w:p>
    <w:p w14:paraId="0322F726" w14:textId="3BD61CF6" w:rsidR="006E0393" w:rsidRDefault="006E0393" w:rsidP="005F3465">
      <w:pPr>
        <w:spacing w:before="120" w:after="120" w:line="400" w:lineRule="exact"/>
        <w:ind w:firstLine="560"/>
        <w:jc w:val="both"/>
        <w:rPr>
          <w:rFonts w:eastAsia="Times New Roman" w:cs="Times New Roman"/>
          <w:szCs w:val="28"/>
        </w:rPr>
      </w:pPr>
      <w:r w:rsidRPr="006E0393">
        <w:rPr>
          <w:rFonts w:eastAsia="Times New Roman" w:cs="Times New Roman"/>
          <w:szCs w:val="28"/>
        </w:rPr>
        <w:t>Việc buôn bán các sản phẩm kém chất lượng hoặc gian lận trong đo lường đối với sản phẩm (ví dụ gian lận trong cân đong, đo, đếm hàng đóng gói sẵn, xăng dầu…) thường tạo ra lợi nhuận lớn, nên thu hút nhiều đối tượng tham gia</w:t>
      </w:r>
      <w:r w:rsidR="002B07F0">
        <w:rPr>
          <w:rFonts w:eastAsia="Times New Roman" w:cs="Times New Roman"/>
          <w:szCs w:val="28"/>
        </w:rPr>
        <w:t>.</w:t>
      </w:r>
    </w:p>
    <w:p w14:paraId="6C5CAB0E" w14:textId="4E16656F" w:rsidR="00D75D82" w:rsidRDefault="00E51C9D" w:rsidP="00D75D82">
      <w:pPr>
        <w:spacing w:before="120" w:after="120" w:line="400" w:lineRule="exact"/>
        <w:ind w:firstLine="560"/>
        <w:jc w:val="both"/>
        <w:rPr>
          <w:rFonts w:eastAsia="Times New Roman" w:cs="Times New Roman"/>
          <w:szCs w:val="28"/>
        </w:rPr>
      </w:pPr>
      <w:r>
        <w:rPr>
          <w:rFonts w:eastAsia="Times New Roman" w:cs="Times New Roman"/>
          <w:szCs w:val="28"/>
        </w:rPr>
        <w:t>Một số</w:t>
      </w:r>
      <w:r w:rsidR="006E0393" w:rsidRPr="006E0393">
        <w:rPr>
          <w:rFonts w:eastAsia="Times New Roman" w:cs="Times New Roman"/>
          <w:szCs w:val="28"/>
        </w:rPr>
        <w:t xml:space="preserve"> sản phẩm hàng hóa chất lượng kém, không đạt tiêu chuẩn</w:t>
      </w:r>
      <w:r w:rsidR="00D75D82">
        <w:rPr>
          <w:rFonts w:eastAsia="Times New Roman" w:cs="Times New Roman"/>
          <w:szCs w:val="28"/>
        </w:rPr>
        <w:t>, không đảm bảo về đo lường</w:t>
      </w:r>
      <w:r w:rsidR="006E0393" w:rsidRPr="006E0393">
        <w:rPr>
          <w:rFonts w:eastAsia="Times New Roman" w:cs="Times New Roman"/>
          <w:szCs w:val="28"/>
        </w:rPr>
        <w:t xml:space="preserve"> có nguồn gốc xuất xứ từ nước ngoài đưa vào nội địa nhưng còn thiếu kiểm soát chặt chẽ</w:t>
      </w:r>
      <w:r w:rsidR="002B07F0">
        <w:rPr>
          <w:rFonts w:eastAsia="Times New Roman" w:cs="Times New Roman"/>
          <w:szCs w:val="28"/>
        </w:rPr>
        <w:t>.</w:t>
      </w:r>
    </w:p>
    <w:p w14:paraId="495A3B3F" w14:textId="370EF666" w:rsidR="00D75D82" w:rsidRPr="00D75D82" w:rsidRDefault="006E0393" w:rsidP="00D75D82">
      <w:pPr>
        <w:spacing w:before="120" w:after="120" w:line="400" w:lineRule="exact"/>
        <w:ind w:firstLine="560"/>
        <w:jc w:val="both"/>
        <w:rPr>
          <w:rFonts w:eastAsia="Times New Roman" w:cs="Times New Roman"/>
          <w:szCs w:val="28"/>
        </w:rPr>
      </w:pPr>
      <w:r w:rsidRPr="006E0393">
        <w:rPr>
          <w:rFonts w:eastAsia="Times New Roman" w:cs="Times New Roman"/>
          <w:szCs w:val="28"/>
        </w:rPr>
        <w:t>Thiếu trang thiết bị thực hiện hiện kiểm tra nhà nước về đo lường làm hạn chế hiệu lực công tác kiểm tra</w:t>
      </w:r>
      <w:r w:rsidR="00D75D82">
        <w:rPr>
          <w:rFonts w:eastAsia="Times New Roman" w:cs="Times New Roman"/>
          <w:szCs w:val="28"/>
        </w:rPr>
        <w:t xml:space="preserve"> về đo lường</w:t>
      </w:r>
      <w:r w:rsidRPr="006E0393">
        <w:rPr>
          <w:rFonts w:eastAsia="Times New Roman" w:cs="Times New Roman"/>
          <w:szCs w:val="28"/>
        </w:rPr>
        <w:t>.</w:t>
      </w:r>
      <w:r w:rsidR="00D75D82" w:rsidRPr="00D75D82">
        <w:rPr>
          <w:rFonts w:eastAsia="Times New Roman" w:cs="Times New Roman"/>
          <w:szCs w:val="28"/>
          <w:lang w:val="nl-NL"/>
        </w:rPr>
        <w:t xml:space="preserve"> </w:t>
      </w:r>
      <w:r w:rsidR="00D75D82">
        <w:rPr>
          <w:rFonts w:eastAsia="Times New Roman" w:cs="Times New Roman"/>
          <w:szCs w:val="28"/>
          <w:lang w:val="nl-NL"/>
        </w:rPr>
        <w:t>Sự phối kết hợp giữa các lực lượng chức năng kiểm tra còn hạn chế do các lực lượng chức năng biên chế ít;</w:t>
      </w:r>
      <w:r w:rsidR="00D75D82" w:rsidRPr="00D75D82">
        <w:rPr>
          <w:rFonts w:eastAsia="Times New Roman" w:cs="Times New Roman"/>
          <w:szCs w:val="28"/>
          <w:lang w:val="nl-NL"/>
        </w:rPr>
        <w:t xml:space="preserve"> </w:t>
      </w:r>
      <w:r w:rsidR="00D75D82">
        <w:rPr>
          <w:rFonts w:eastAsia="Times New Roman" w:cs="Times New Roman"/>
          <w:szCs w:val="28"/>
          <w:lang w:val="nl-NL"/>
        </w:rPr>
        <w:t>Kinh phí, điều kiện, trang thiết bị phục vụ công tác kiểm tra, kiểm soát còn thiếu</w:t>
      </w:r>
      <w:r w:rsidR="002B07F0">
        <w:rPr>
          <w:rFonts w:eastAsia="Times New Roman" w:cs="Times New Roman"/>
          <w:szCs w:val="28"/>
          <w:lang w:val="nl-NL"/>
        </w:rPr>
        <w:t>.</w:t>
      </w:r>
    </w:p>
    <w:p w14:paraId="1E25E127" w14:textId="70E20D98" w:rsidR="008461C8" w:rsidRDefault="008461C8" w:rsidP="005F3465">
      <w:pPr>
        <w:spacing w:before="120" w:after="120" w:line="400" w:lineRule="exact"/>
        <w:ind w:firstLine="560"/>
        <w:jc w:val="both"/>
        <w:rPr>
          <w:rFonts w:eastAsia="Times New Roman" w:cs="Times New Roman"/>
          <w:szCs w:val="28"/>
        </w:rPr>
      </w:pPr>
      <w:r w:rsidRPr="008461C8">
        <w:rPr>
          <w:rFonts w:eastAsia="Times New Roman" w:cs="Times New Roman"/>
          <w:szCs w:val="28"/>
        </w:rPr>
        <w:lastRenderedPageBreak/>
        <w:t>Có sự chồng chéo, chưa thống nhất giữa các quy định pháp luật trong viêc xử lý các vi phạm về tiêu chuẩn, đo lường, chất lượng sản phẩm hàng hóa dẫn đến sự lúng túng trong việc xử lý của các cơ quan chức năng</w:t>
      </w:r>
      <w:r w:rsidR="002B07F0">
        <w:rPr>
          <w:rFonts w:eastAsia="Times New Roman" w:cs="Times New Roman"/>
          <w:szCs w:val="28"/>
        </w:rPr>
        <w:t>.</w:t>
      </w:r>
    </w:p>
    <w:p w14:paraId="08EFCA1F" w14:textId="0BC9C7F5" w:rsidR="004F44F0" w:rsidRPr="004F44F0" w:rsidRDefault="004F44F0" w:rsidP="00D75D82">
      <w:pPr>
        <w:spacing w:before="120" w:after="120" w:line="400" w:lineRule="exact"/>
        <w:ind w:firstLine="560"/>
        <w:jc w:val="both"/>
        <w:rPr>
          <w:rFonts w:eastAsia="Times New Roman" w:cs="Times New Roman"/>
          <w:szCs w:val="28"/>
          <w:lang w:val="nl-NL"/>
        </w:rPr>
      </w:pPr>
      <w:r w:rsidRPr="004F44F0">
        <w:rPr>
          <w:rFonts w:eastAsia="Times New Roman" w:cs="Times New Roman"/>
          <w:szCs w:val="28"/>
          <w:lang w:val="nl-NL"/>
        </w:rPr>
        <w:t xml:space="preserve"> Ý thức chấp hành chính sách, pháp luật của một số tổ chức, cá nhân sản xuất, kinh doanh trên địa bàn còn hạn chế.</w:t>
      </w:r>
    </w:p>
    <w:p w14:paraId="7229BC29" w14:textId="2877D2F2" w:rsidR="005B2450" w:rsidRPr="008B06BB" w:rsidRDefault="00A60353" w:rsidP="005F2D61">
      <w:pPr>
        <w:pStyle w:val="NormalWeb"/>
        <w:spacing w:before="120" w:beforeAutospacing="0" w:after="120" w:afterAutospacing="0" w:line="400" w:lineRule="exact"/>
        <w:ind w:firstLine="567"/>
        <w:jc w:val="both"/>
        <w:rPr>
          <w:b/>
          <w:sz w:val="28"/>
          <w:szCs w:val="28"/>
        </w:rPr>
      </w:pPr>
      <w:r>
        <w:rPr>
          <w:b/>
          <w:sz w:val="28"/>
          <w:szCs w:val="28"/>
        </w:rPr>
        <w:t>III</w:t>
      </w:r>
      <w:r w:rsidR="006E4D13">
        <w:rPr>
          <w:b/>
          <w:sz w:val="28"/>
          <w:szCs w:val="28"/>
        </w:rPr>
        <w:t>.</w:t>
      </w:r>
      <w:r w:rsidR="008B06BB">
        <w:rPr>
          <w:b/>
          <w:sz w:val="28"/>
          <w:szCs w:val="28"/>
        </w:rPr>
        <w:t xml:space="preserve"> M</w:t>
      </w:r>
      <w:r w:rsidR="008B06BB" w:rsidRPr="008B06BB">
        <w:rPr>
          <w:b/>
          <w:sz w:val="28"/>
          <w:szCs w:val="28"/>
        </w:rPr>
        <w:t>ột</w:t>
      </w:r>
      <w:r w:rsidR="008B06BB">
        <w:rPr>
          <w:b/>
          <w:sz w:val="28"/>
          <w:szCs w:val="28"/>
        </w:rPr>
        <w:t xml:space="preserve"> s</w:t>
      </w:r>
      <w:r w:rsidR="008B06BB" w:rsidRPr="008B06BB">
        <w:rPr>
          <w:b/>
          <w:sz w:val="28"/>
          <w:szCs w:val="28"/>
        </w:rPr>
        <w:t>ố</w:t>
      </w:r>
      <w:r w:rsidR="008B06BB">
        <w:rPr>
          <w:b/>
          <w:sz w:val="28"/>
          <w:szCs w:val="28"/>
        </w:rPr>
        <w:t xml:space="preserve"> gi</w:t>
      </w:r>
      <w:r w:rsidR="008B06BB" w:rsidRPr="008B06BB">
        <w:rPr>
          <w:b/>
          <w:sz w:val="28"/>
          <w:szCs w:val="28"/>
        </w:rPr>
        <w:t>ả</w:t>
      </w:r>
      <w:r w:rsidR="00E51C9D">
        <w:rPr>
          <w:b/>
          <w:sz w:val="28"/>
          <w:szCs w:val="28"/>
        </w:rPr>
        <w:t>i</w:t>
      </w:r>
      <w:r w:rsidR="008B06BB">
        <w:rPr>
          <w:b/>
          <w:sz w:val="28"/>
          <w:szCs w:val="28"/>
        </w:rPr>
        <w:t xml:space="preserve"> ph</w:t>
      </w:r>
      <w:r w:rsidR="008B06BB" w:rsidRPr="008B06BB">
        <w:rPr>
          <w:b/>
          <w:sz w:val="28"/>
          <w:szCs w:val="28"/>
        </w:rPr>
        <w:t>áp</w:t>
      </w:r>
      <w:r w:rsidR="008B06BB">
        <w:rPr>
          <w:b/>
          <w:sz w:val="28"/>
          <w:szCs w:val="28"/>
        </w:rPr>
        <w:t xml:space="preserve"> trong th</w:t>
      </w:r>
      <w:r w:rsidR="008B06BB" w:rsidRPr="008B06BB">
        <w:rPr>
          <w:b/>
          <w:sz w:val="28"/>
          <w:szCs w:val="28"/>
        </w:rPr>
        <w:t>ời</w:t>
      </w:r>
      <w:r w:rsidR="008B06BB">
        <w:rPr>
          <w:b/>
          <w:sz w:val="28"/>
          <w:szCs w:val="28"/>
        </w:rPr>
        <w:t xml:space="preserve"> gian t</w:t>
      </w:r>
      <w:r w:rsidR="008B06BB" w:rsidRPr="008B06BB">
        <w:rPr>
          <w:b/>
          <w:sz w:val="28"/>
          <w:szCs w:val="28"/>
        </w:rPr>
        <w:t>ới</w:t>
      </w:r>
      <w:r w:rsidR="008B06BB">
        <w:rPr>
          <w:b/>
          <w:sz w:val="28"/>
          <w:szCs w:val="28"/>
        </w:rPr>
        <w:t>.</w:t>
      </w:r>
    </w:p>
    <w:p w14:paraId="462453E0" w14:textId="0568F2E0" w:rsidR="00E0241E" w:rsidRDefault="005B2450" w:rsidP="005F2D61">
      <w:pPr>
        <w:spacing w:before="120" w:after="120" w:line="400" w:lineRule="exact"/>
        <w:ind w:firstLine="567"/>
        <w:jc w:val="both"/>
      </w:pPr>
      <w:r w:rsidRPr="009E1F7D">
        <w:rPr>
          <w:lang w:val="nl-NL"/>
        </w:rPr>
        <w:t>Thường xuyên tuyên truyền</w:t>
      </w:r>
      <w:r w:rsidR="00754B07">
        <w:rPr>
          <w:lang w:val="nl-NL"/>
        </w:rPr>
        <w:t>, hư</w:t>
      </w:r>
      <w:r w:rsidR="00754B07" w:rsidRPr="00754B07">
        <w:rPr>
          <w:lang w:val="nl-NL"/>
        </w:rPr>
        <w:t>ớng</w:t>
      </w:r>
      <w:r w:rsidR="00754B07">
        <w:rPr>
          <w:lang w:val="nl-NL"/>
        </w:rPr>
        <w:t xml:space="preserve"> d</w:t>
      </w:r>
      <w:r w:rsidR="00754B07" w:rsidRPr="00754B07">
        <w:rPr>
          <w:lang w:val="nl-NL"/>
        </w:rPr>
        <w:t>ẫn</w:t>
      </w:r>
      <w:r w:rsidRPr="009E1F7D">
        <w:rPr>
          <w:lang w:val="nl-NL"/>
        </w:rPr>
        <w:t xml:space="preserve"> tới </w:t>
      </w:r>
      <w:r w:rsidRPr="009E1F7D">
        <w:rPr>
          <w:lang w:val="vi-VN"/>
        </w:rPr>
        <w:t>tổ chức, cá nhân</w:t>
      </w:r>
      <w:r w:rsidRPr="009E1F7D">
        <w:rPr>
          <w:lang w:val="nl-NL"/>
        </w:rPr>
        <w:t xml:space="preserve"> tham gia </w:t>
      </w:r>
      <w:r w:rsidRPr="009E1F7D">
        <w:rPr>
          <w:lang w:val="vi-VN"/>
        </w:rPr>
        <w:t xml:space="preserve">sản xuất, </w:t>
      </w:r>
      <w:r w:rsidRPr="009E1F7D">
        <w:rPr>
          <w:lang w:val="nl-NL"/>
        </w:rPr>
        <w:t xml:space="preserve">kinh doanh các </w:t>
      </w:r>
      <w:r w:rsidRPr="009E1F7D">
        <w:rPr>
          <w:lang w:val="vi-VN"/>
        </w:rPr>
        <w:t xml:space="preserve">quy định về </w:t>
      </w:r>
      <w:r w:rsidR="00E0241E">
        <w:t>tiêu chuẩn đo lường, chất lượng.</w:t>
      </w:r>
    </w:p>
    <w:p w14:paraId="7AB29043" w14:textId="20E4F5B7" w:rsidR="00E0241E" w:rsidRDefault="00E0241E" w:rsidP="005F2D61">
      <w:pPr>
        <w:spacing w:before="120" w:after="120" w:line="400" w:lineRule="exact"/>
        <w:ind w:firstLine="567"/>
        <w:jc w:val="both"/>
        <w:rPr>
          <w:lang w:val="nl-NL"/>
        </w:rPr>
      </w:pPr>
      <w:r w:rsidRPr="009E1F7D">
        <w:rPr>
          <w:lang w:val="nl-NL"/>
        </w:rPr>
        <w:t xml:space="preserve">Tăng cường </w:t>
      </w:r>
      <w:r w:rsidR="008461C8">
        <w:rPr>
          <w:lang w:val="nl-NL"/>
        </w:rPr>
        <w:t xml:space="preserve">thành lập các Đoàn Kiểm tra liên ngành để kiểm tra về đo lường, chất lựng và </w:t>
      </w:r>
      <w:r w:rsidRPr="009E1F7D">
        <w:rPr>
          <w:lang w:val="nl-NL"/>
        </w:rPr>
        <w:t>sự phối hợp giữa các ngành chức năng và các tổ chức, cá nhân sản xuất, kinh doanh để nâng cao hiệu quả hoạt động kiểm tra, kiểm soát và xử lý vi phạm.</w:t>
      </w:r>
      <w:r w:rsidR="008461C8">
        <w:rPr>
          <w:lang w:val="nl-NL"/>
        </w:rPr>
        <w:t xml:space="preserve"> </w:t>
      </w:r>
    </w:p>
    <w:p w14:paraId="5B064D22" w14:textId="16BC120C" w:rsidR="008461C8" w:rsidRPr="006E64E3" w:rsidRDefault="008461C8" w:rsidP="005F2D61">
      <w:pPr>
        <w:spacing w:before="120" w:after="120" w:line="400" w:lineRule="exact"/>
        <w:ind w:firstLine="567"/>
        <w:jc w:val="both"/>
        <w:rPr>
          <w:lang w:val="nl-NL"/>
        </w:rPr>
      </w:pPr>
      <w:r w:rsidRPr="008461C8">
        <w:rPr>
          <w:lang w:val="nl-NL"/>
        </w:rPr>
        <w:t>Tăng cường đào tạo và phát triển nguồn nhân lực về đo lường để đáp ứng yêu cầu theo xu thế hội nhập;</w:t>
      </w:r>
      <w:r w:rsidR="00C14BAC" w:rsidRPr="00C14BAC">
        <w:t xml:space="preserve"> </w:t>
      </w:r>
      <w:r w:rsidR="002E1076" w:rsidRPr="002E1076">
        <w:t xml:space="preserve">bồi dưỡng nghiệp vụ về tiêu chuẩn, đo lường, chất lượng cho </w:t>
      </w:r>
      <w:r w:rsidR="002E1076">
        <w:t xml:space="preserve">Kiểm soát viên QLTT, </w:t>
      </w:r>
      <w:r w:rsidR="00C14BAC" w:rsidRPr="00C14BAC">
        <w:rPr>
          <w:lang w:val="nl-NL"/>
        </w:rPr>
        <w:t>tăng cường nhân lực, bố trí đủ nguồn lực cho các lực lượng chức năng trong việc thanh tra, kiểm tra</w:t>
      </w:r>
      <w:r w:rsidR="006E4D13">
        <w:rPr>
          <w:lang w:val="nl-NL"/>
        </w:rPr>
        <w:t xml:space="preserve"> </w:t>
      </w:r>
      <w:r w:rsidR="006E4D13" w:rsidRPr="006E4D13">
        <w:rPr>
          <w:lang w:val="nl-NL"/>
        </w:rPr>
        <w:t>về đo lường</w:t>
      </w:r>
      <w:r w:rsidR="00C14BAC" w:rsidRPr="00C14BAC">
        <w:rPr>
          <w:lang w:val="nl-NL"/>
        </w:rPr>
        <w:t>.</w:t>
      </w:r>
      <w:r w:rsidR="00C14BAC" w:rsidRPr="00C14BAC">
        <w:t xml:space="preserve"> </w:t>
      </w:r>
      <w:r w:rsidR="00C14BAC" w:rsidRPr="00C14BAC">
        <w:rPr>
          <w:lang w:val="nl-NL"/>
        </w:rPr>
        <w:t xml:space="preserve">Chủ động đầu tư phương tiện kỹ thuật chuyên dụng phục vụ cho hoạt động kiểm tra, thanh tra </w:t>
      </w:r>
      <w:bookmarkStart w:id="3" w:name="_Hlk61600821"/>
      <w:r w:rsidR="00C14BAC" w:rsidRPr="00C14BAC">
        <w:rPr>
          <w:lang w:val="nl-NL"/>
        </w:rPr>
        <w:t>về đo lường</w:t>
      </w:r>
      <w:bookmarkEnd w:id="3"/>
      <w:r w:rsidR="00255589">
        <w:rPr>
          <w:lang w:val="nl-NL"/>
        </w:rPr>
        <w:t>.</w:t>
      </w:r>
    </w:p>
    <w:p w14:paraId="3E37447D" w14:textId="5658EE68" w:rsidR="008461C8" w:rsidRDefault="008461C8" w:rsidP="005F2D61">
      <w:pPr>
        <w:spacing w:before="120" w:after="120" w:line="400" w:lineRule="exact"/>
        <w:ind w:firstLine="567"/>
        <w:jc w:val="both"/>
        <w:rPr>
          <w:lang w:val="nl-NL"/>
        </w:rPr>
      </w:pPr>
      <w:r w:rsidRPr="008461C8">
        <w:rPr>
          <w:lang w:val="nl-NL"/>
        </w:rPr>
        <w:t>Phối hợp chặt chẽ giữa các cơ quan chức năng trong quá trình thực thi nhiệm vụ, kịp thời ngăn chặn các hành vi gian lận về đo lường.</w:t>
      </w:r>
      <w:r w:rsidR="002E1076">
        <w:rPr>
          <w:lang w:val="nl-NL"/>
        </w:rPr>
        <w:t xml:space="preserve"> </w:t>
      </w:r>
      <w:r w:rsidR="002E1076" w:rsidRPr="002E1076">
        <w:rPr>
          <w:lang w:val="nl-NL"/>
        </w:rPr>
        <w:t>Đảm bảo thống nhất, đồng bộ, hiệu quả trong quá trình phối hợp</w:t>
      </w:r>
      <w:r w:rsidR="002E1076">
        <w:rPr>
          <w:lang w:val="nl-NL"/>
        </w:rPr>
        <w:t>.</w:t>
      </w:r>
      <w:r w:rsidR="002E1076" w:rsidRPr="002E1076">
        <w:rPr>
          <w:lang w:val="nl-NL"/>
        </w:rPr>
        <w:t xml:space="preserve"> </w:t>
      </w:r>
      <w:r w:rsidRPr="008461C8">
        <w:rPr>
          <w:lang w:val="nl-NL"/>
        </w:rPr>
        <w:t xml:space="preserve">Hoạt động thanh tra, kiểm tra phải tuân thủ quy định của pháp luật, đồng thời tạo điều kiện thuận lợi cho các cơ sở đảm bảo hoạt động sản xuất kinh doanh. Hướng hoạt động thanh tra, kiểm tra tập trung vào các ngành, nghề kinh doanh được xem là “điểm nóng” của tình trạng gian lận về đo lường hiện đang được người tiêu dùng và dư luận quan tâm. Tập trung vào các phương tiện đo như: cân đồng hồ lò xo, phương tiện đo nhóm 2 trong cột đo xăng dầu, </w:t>
      </w:r>
    </w:p>
    <w:p w14:paraId="400ABD3E" w14:textId="0381628F" w:rsidR="008461C8" w:rsidRDefault="008461C8" w:rsidP="005F2D61">
      <w:pPr>
        <w:spacing w:before="120" w:after="120" w:line="400" w:lineRule="exact"/>
        <w:ind w:firstLine="567"/>
        <w:jc w:val="both"/>
        <w:rPr>
          <w:lang w:val="nl-NL"/>
        </w:rPr>
      </w:pPr>
      <w:r>
        <w:rPr>
          <w:lang w:val="nl-NL"/>
        </w:rPr>
        <w:t>T</w:t>
      </w:r>
      <w:r w:rsidRPr="008461C8">
        <w:rPr>
          <w:lang w:val="nl-NL"/>
        </w:rPr>
        <w:t xml:space="preserve">iếp tục phải nghiên cứu </w:t>
      </w:r>
      <w:r w:rsidR="0014578E">
        <w:rPr>
          <w:lang w:val="nl-NL"/>
        </w:rPr>
        <w:t xml:space="preserve">và </w:t>
      </w:r>
      <w:r w:rsidRPr="008461C8">
        <w:rPr>
          <w:lang w:val="nl-NL"/>
        </w:rPr>
        <w:t xml:space="preserve">xây dựng các chế tài </w:t>
      </w:r>
      <w:r w:rsidR="00683FE9">
        <w:rPr>
          <w:lang w:val="nl-NL"/>
        </w:rPr>
        <w:t xml:space="preserve">đủ </w:t>
      </w:r>
      <w:r w:rsidRPr="008461C8">
        <w:rPr>
          <w:lang w:val="nl-NL"/>
        </w:rPr>
        <w:t>mạnh để răn đe và xử lý kiên quyết các hành vi sản xuất, buôn bán, nhập khẩu hàng hóa kém chất lượng</w:t>
      </w:r>
      <w:r w:rsidR="00E51C9D">
        <w:rPr>
          <w:lang w:val="nl-NL"/>
        </w:rPr>
        <w:t>, gian lận về đo lường</w:t>
      </w:r>
      <w:r w:rsidRPr="008461C8">
        <w:rPr>
          <w:lang w:val="nl-NL"/>
        </w:rPr>
        <w:t xml:space="preserve"> </w:t>
      </w:r>
      <w:r w:rsidR="00E51C9D">
        <w:rPr>
          <w:lang w:val="nl-NL"/>
        </w:rPr>
        <w:t>làm ảnh hưởng đến quyền và lợi ích</w:t>
      </w:r>
      <w:r w:rsidRPr="008461C8">
        <w:rPr>
          <w:lang w:val="nl-NL"/>
        </w:rPr>
        <w:t xml:space="preserve"> </w:t>
      </w:r>
      <w:r w:rsidR="00683FE9">
        <w:rPr>
          <w:lang w:val="nl-NL"/>
        </w:rPr>
        <w:t xml:space="preserve">hợp pháp của </w:t>
      </w:r>
      <w:r w:rsidRPr="008461C8">
        <w:rPr>
          <w:lang w:val="nl-NL"/>
        </w:rPr>
        <w:t xml:space="preserve">người </w:t>
      </w:r>
      <w:r w:rsidR="00683FE9">
        <w:rPr>
          <w:lang w:val="nl-NL"/>
        </w:rPr>
        <w:t xml:space="preserve">tiêu </w:t>
      </w:r>
      <w:r w:rsidRPr="008461C8">
        <w:rPr>
          <w:lang w:val="nl-NL"/>
        </w:rPr>
        <w:t>d</w:t>
      </w:r>
      <w:r w:rsidR="00683FE9">
        <w:rPr>
          <w:lang w:val="nl-NL"/>
        </w:rPr>
        <w:t>ù</w:t>
      </w:r>
      <w:r w:rsidRPr="008461C8">
        <w:rPr>
          <w:lang w:val="nl-NL"/>
        </w:rPr>
        <w:t>ng.</w:t>
      </w:r>
    </w:p>
    <w:p w14:paraId="5BA6B61F" w14:textId="7525D39B" w:rsidR="008461C8" w:rsidRDefault="008461C8" w:rsidP="005F2D61">
      <w:pPr>
        <w:spacing w:before="120" w:after="120" w:line="400" w:lineRule="exact"/>
        <w:ind w:firstLine="567"/>
        <w:jc w:val="both"/>
      </w:pPr>
      <w:r w:rsidRPr="008461C8">
        <w:lastRenderedPageBreak/>
        <w:t>Xây dựng đường dây nóng tiếp nhận phản ánh, kiến nghị từ các tổ chức, cá nhân liên quan đến các hiện tượng gian lận đo lường trên địa bàn, xử lý vụ việc kịp thời, tạo niềm tin của nhân dân đối với các cơ quan nhà nước được giao nhiệm vụ quản lý trong lĩnh vực đo lường, đồng thời thông báo trên các phương tiện thông tin đại chúng để người tiêu dùng được biết và có tác dụng răn đe các đối tượng có ý định thực hiện hành vi gian lận;</w:t>
      </w:r>
    </w:p>
    <w:p w14:paraId="7F79E966" w14:textId="6978F807" w:rsidR="0036077F" w:rsidRDefault="000451E2" w:rsidP="005F2D61">
      <w:pPr>
        <w:pStyle w:val="NormalWeb"/>
        <w:shd w:val="clear" w:color="auto" w:fill="FFFFFF"/>
        <w:spacing w:before="120" w:beforeAutospacing="0" w:after="120" w:afterAutospacing="0" w:line="400" w:lineRule="exact"/>
        <w:ind w:firstLine="709"/>
        <w:jc w:val="both"/>
        <w:rPr>
          <w:sz w:val="28"/>
          <w:szCs w:val="28"/>
        </w:rPr>
      </w:pPr>
      <w:r w:rsidRPr="00A97B6F">
        <w:rPr>
          <w:sz w:val="28"/>
          <w:szCs w:val="28"/>
        </w:rPr>
        <w:t>Trê</w:t>
      </w:r>
      <w:r w:rsidR="004F44F0" w:rsidRPr="00A97B6F">
        <w:rPr>
          <w:sz w:val="28"/>
          <w:szCs w:val="28"/>
        </w:rPr>
        <w:t xml:space="preserve">n đây là bài tham luận của </w:t>
      </w:r>
      <w:r w:rsidR="00CA3747">
        <w:rPr>
          <w:sz w:val="28"/>
          <w:szCs w:val="28"/>
        </w:rPr>
        <w:t>C</w:t>
      </w:r>
      <w:r w:rsidRPr="00A97B6F">
        <w:rPr>
          <w:sz w:val="28"/>
          <w:szCs w:val="28"/>
        </w:rPr>
        <w:t xml:space="preserve">ục QLTT tỉnh Thái Nguyên./. </w:t>
      </w:r>
    </w:p>
    <w:p w14:paraId="221B8075" w14:textId="77777777" w:rsidR="00652EDB" w:rsidRPr="00A97B6F" w:rsidRDefault="00652EDB" w:rsidP="005F2D61">
      <w:pPr>
        <w:pStyle w:val="NormalWeb"/>
        <w:shd w:val="clear" w:color="auto" w:fill="FFFFFF"/>
        <w:spacing w:before="120" w:beforeAutospacing="0" w:after="120" w:afterAutospacing="0" w:line="400" w:lineRule="exact"/>
        <w:ind w:firstLine="709"/>
        <w:jc w:val="both"/>
        <w:rPr>
          <w:sz w:val="28"/>
          <w:szCs w:val="28"/>
        </w:rPr>
      </w:pPr>
    </w:p>
    <w:sectPr w:rsidR="00652EDB" w:rsidRPr="00A97B6F" w:rsidSect="006E0A23">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65B6" w14:textId="77777777" w:rsidR="00765A10" w:rsidRDefault="00765A10" w:rsidP="005B2450">
      <w:pPr>
        <w:spacing w:after="0" w:line="240" w:lineRule="auto"/>
      </w:pPr>
      <w:r>
        <w:separator/>
      </w:r>
    </w:p>
  </w:endnote>
  <w:endnote w:type="continuationSeparator" w:id="0">
    <w:p w14:paraId="715F36DD" w14:textId="77777777" w:rsidR="00765A10" w:rsidRDefault="00765A10" w:rsidP="005B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F3F7" w14:textId="403DF939" w:rsidR="006E0A23" w:rsidRDefault="006E0A23">
    <w:pPr>
      <w:pStyle w:val="Footer"/>
      <w:jc w:val="center"/>
    </w:pPr>
  </w:p>
  <w:p w14:paraId="147B3DB8" w14:textId="77777777" w:rsidR="007A5ACD" w:rsidRDefault="007A5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ABFF5" w14:textId="77777777" w:rsidR="00765A10" w:rsidRDefault="00765A10" w:rsidP="005B2450">
      <w:pPr>
        <w:spacing w:after="0" w:line="240" w:lineRule="auto"/>
      </w:pPr>
      <w:r>
        <w:separator/>
      </w:r>
    </w:p>
  </w:footnote>
  <w:footnote w:type="continuationSeparator" w:id="0">
    <w:p w14:paraId="478332BE" w14:textId="77777777" w:rsidR="00765A10" w:rsidRDefault="00765A10" w:rsidP="005B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06569"/>
      <w:docPartObj>
        <w:docPartGallery w:val="Page Numbers (Top of Page)"/>
        <w:docPartUnique/>
      </w:docPartObj>
    </w:sdtPr>
    <w:sdtEndPr>
      <w:rPr>
        <w:noProof/>
      </w:rPr>
    </w:sdtEndPr>
    <w:sdtContent>
      <w:p w14:paraId="7BBB603A" w14:textId="451AA950" w:rsidR="006E0A23" w:rsidRDefault="006E0A2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20DBA33" w14:textId="77777777" w:rsidR="006E0A23" w:rsidRDefault="006E0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06"/>
    <w:rsid w:val="000451E2"/>
    <w:rsid w:val="00072226"/>
    <w:rsid w:val="000A18C0"/>
    <w:rsid w:val="000A4EF1"/>
    <w:rsid w:val="000F3E10"/>
    <w:rsid w:val="00136675"/>
    <w:rsid w:val="0014578E"/>
    <w:rsid w:val="00186D36"/>
    <w:rsid w:val="001B3520"/>
    <w:rsid w:val="001C3B95"/>
    <w:rsid w:val="001F38BB"/>
    <w:rsid w:val="00221774"/>
    <w:rsid w:val="00255589"/>
    <w:rsid w:val="00294293"/>
    <w:rsid w:val="002B07F0"/>
    <w:rsid w:val="002E1076"/>
    <w:rsid w:val="0036077F"/>
    <w:rsid w:val="003709A3"/>
    <w:rsid w:val="0037511A"/>
    <w:rsid w:val="0038251F"/>
    <w:rsid w:val="003E3583"/>
    <w:rsid w:val="003F5979"/>
    <w:rsid w:val="00407706"/>
    <w:rsid w:val="00433566"/>
    <w:rsid w:val="004E0967"/>
    <w:rsid w:val="004F44F0"/>
    <w:rsid w:val="00510F64"/>
    <w:rsid w:val="00533B73"/>
    <w:rsid w:val="005536C2"/>
    <w:rsid w:val="0055588D"/>
    <w:rsid w:val="005B2450"/>
    <w:rsid w:val="005F2D61"/>
    <w:rsid w:val="005F3465"/>
    <w:rsid w:val="00604698"/>
    <w:rsid w:val="00613E64"/>
    <w:rsid w:val="00624D90"/>
    <w:rsid w:val="00652EDB"/>
    <w:rsid w:val="00683FE9"/>
    <w:rsid w:val="006B2577"/>
    <w:rsid w:val="006E0393"/>
    <w:rsid w:val="006E0A23"/>
    <w:rsid w:val="006E4D13"/>
    <w:rsid w:val="006E64E3"/>
    <w:rsid w:val="006F4421"/>
    <w:rsid w:val="00733BA8"/>
    <w:rsid w:val="0074216E"/>
    <w:rsid w:val="00750499"/>
    <w:rsid w:val="00754B07"/>
    <w:rsid w:val="007629DC"/>
    <w:rsid w:val="00765A10"/>
    <w:rsid w:val="007818F2"/>
    <w:rsid w:val="007A2515"/>
    <w:rsid w:val="007A5ACD"/>
    <w:rsid w:val="00830957"/>
    <w:rsid w:val="008461C8"/>
    <w:rsid w:val="00863525"/>
    <w:rsid w:val="0086464E"/>
    <w:rsid w:val="008A15CE"/>
    <w:rsid w:val="008B06BB"/>
    <w:rsid w:val="008F1A62"/>
    <w:rsid w:val="008F2499"/>
    <w:rsid w:val="008F595A"/>
    <w:rsid w:val="0090208B"/>
    <w:rsid w:val="009316F0"/>
    <w:rsid w:val="0096698A"/>
    <w:rsid w:val="00A60353"/>
    <w:rsid w:val="00A61120"/>
    <w:rsid w:val="00A97B6F"/>
    <w:rsid w:val="00AB7233"/>
    <w:rsid w:val="00AF2D6C"/>
    <w:rsid w:val="00B00A6B"/>
    <w:rsid w:val="00B067BD"/>
    <w:rsid w:val="00B80CB2"/>
    <w:rsid w:val="00B858F4"/>
    <w:rsid w:val="00B861AD"/>
    <w:rsid w:val="00B86B63"/>
    <w:rsid w:val="00BB4380"/>
    <w:rsid w:val="00BC4F97"/>
    <w:rsid w:val="00BD4D15"/>
    <w:rsid w:val="00BE109A"/>
    <w:rsid w:val="00BF4C5A"/>
    <w:rsid w:val="00C14BAC"/>
    <w:rsid w:val="00C26504"/>
    <w:rsid w:val="00C40FDE"/>
    <w:rsid w:val="00C778CE"/>
    <w:rsid w:val="00C81B08"/>
    <w:rsid w:val="00C84465"/>
    <w:rsid w:val="00C90B62"/>
    <w:rsid w:val="00CA3747"/>
    <w:rsid w:val="00CA5012"/>
    <w:rsid w:val="00D31206"/>
    <w:rsid w:val="00D75D82"/>
    <w:rsid w:val="00DA310B"/>
    <w:rsid w:val="00DD78D5"/>
    <w:rsid w:val="00E0241E"/>
    <w:rsid w:val="00E33144"/>
    <w:rsid w:val="00E45FCA"/>
    <w:rsid w:val="00E504A8"/>
    <w:rsid w:val="00E51C9D"/>
    <w:rsid w:val="00EC25FF"/>
    <w:rsid w:val="00ED3B35"/>
    <w:rsid w:val="00EF6356"/>
    <w:rsid w:val="00F83FA5"/>
    <w:rsid w:val="00F860D6"/>
    <w:rsid w:val="00FC6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1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07706"/>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407706"/>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iPriority w:val="99"/>
    <w:semiHidden/>
    <w:unhideWhenUsed/>
    <w:rsid w:val="0036077F"/>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36077F"/>
    <w:rPr>
      <w:rFonts w:eastAsia="Times New Roman" w:cs="Times New Roman"/>
      <w:sz w:val="24"/>
      <w:szCs w:val="24"/>
    </w:rPr>
  </w:style>
  <w:style w:type="character" w:customStyle="1" w:styleId="apple-converted-space">
    <w:name w:val="apple-converted-space"/>
    <w:basedOn w:val="DefaultParagraphFont"/>
    <w:rsid w:val="003F5979"/>
  </w:style>
  <w:style w:type="paragraph" w:customStyle="1" w:styleId="a-noidung">
    <w:name w:val="a-noidung"/>
    <w:basedOn w:val="Normal"/>
    <w:rsid w:val="005B245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B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50"/>
  </w:style>
  <w:style w:type="paragraph" w:styleId="Footer">
    <w:name w:val="footer"/>
    <w:basedOn w:val="Normal"/>
    <w:link w:val="FooterChar"/>
    <w:uiPriority w:val="99"/>
    <w:unhideWhenUsed/>
    <w:rsid w:val="005B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50"/>
  </w:style>
  <w:style w:type="paragraph" w:styleId="BalloonText">
    <w:name w:val="Balloon Text"/>
    <w:basedOn w:val="Normal"/>
    <w:link w:val="BalloonTextChar"/>
    <w:uiPriority w:val="99"/>
    <w:semiHidden/>
    <w:unhideWhenUsed/>
    <w:rsid w:val="00E5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07706"/>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407706"/>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iPriority w:val="99"/>
    <w:semiHidden/>
    <w:unhideWhenUsed/>
    <w:rsid w:val="0036077F"/>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36077F"/>
    <w:rPr>
      <w:rFonts w:eastAsia="Times New Roman" w:cs="Times New Roman"/>
      <w:sz w:val="24"/>
      <w:szCs w:val="24"/>
    </w:rPr>
  </w:style>
  <w:style w:type="character" w:customStyle="1" w:styleId="apple-converted-space">
    <w:name w:val="apple-converted-space"/>
    <w:basedOn w:val="DefaultParagraphFont"/>
    <w:rsid w:val="003F5979"/>
  </w:style>
  <w:style w:type="paragraph" w:customStyle="1" w:styleId="a-noidung">
    <w:name w:val="a-noidung"/>
    <w:basedOn w:val="Normal"/>
    <w:rsid w:val="005B245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B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50"/>
  </w:style>
  <w:style w:type="paragraph" w:styleId="Footer">
    <w:name w:val="footer"/>
    <w:basedOn w:val="Normal"/>
    <w:link w:val="FooterChar"/>
    <w:uiPriority w:val="99"/>
    <w:unhideWhenUsed/>
    <w:rsid w:val="005B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50"/>
  </w:style>
  <w:style w:type="paragraph" w:styleId="BalloonText">
    <w:name w:val="Balloon Text"/>
    <w:basedOn w:val="Normal"/>
    <w:link w:val="BalloonTextChar"/>
    <w:uiPriority w:val="99"/>
    <w:semiHidden/>
    <w:unhideWhenUsed/>
    <w:rsid w:val="00E5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0257">
      <w:bodyDiv w:val="1"/>
      <w:marLeft w:val="0"/>
      <w:marRight w:val="0"/>
      <w:marTop w:val="0"/>
      <w:marBottom w:val="0"/>
      <w:divBdr>
        <w:top w:val="none" w:sz="0" w:space="0" w:color="auto"/>
        <w:left w:val="none" w:sz="0" w:space="0" w:color="auto"/>
        <w:bottom w:val="none" w:sz="0" w:space="0" w:color="auto"/>
        <w:right w:val="none" w:sz="0" w:space="0" w:color="auto"/>
      </w:divBdr>
    </w:div>
    <w:div w:id="693075105">
      <w:bodyDiv w:val="1"/>
      <w:marLeft w:val="0"/>
      <w:marRight w:val="0"/>
      <w:marTop w:val="0"/>
      <w:marBottom w:val="0"/>
      <w:divBdr>
        <w:top w:val="none" w:sz="0" w:space="0" w:color="auto"/>
        <w:left w:val="none" w:sz="0" w:space="0" w:color="auto"/>
        <w:bottom w:val="none" w:sz="0" w:space="0" w:color="auto"/>
        <w:right w:val="none" w:sz="0" w:space="0" w:color="auto"/>
      </w:divBdr>
    </w:div>
    <w:div w:id="815803821">
      <w:bodyDiv w:val="1"/>
      <w:marLeft w:val="0"/>
      <w:marRight w:val="0"/>
      <w:marTop w:val="0"/>
      <w:marBottom w:val="0"/>
      <w:divBdr>
        <w:top w:val="none" w:sz="0" w:space="0" w:color="auto"/>
        <w:left w:val="none" w:sz="0" w:space="0" w:color="auto"/>
        <w:bottom w:val="none" w:sz="0" w:space="0" w:color="auto"/>
        <w:right w:val="none" w:sz="0" w:space="0" w:color="auto"/>
      </w:divBdr>
    </w:div>
    <w:div w:id="1096632241">
      <w:bodyDiv w:val="1"/>
      <w:marLeft w:val="0"/>
      <w:marRight w:val="0"/>
      <w:marTop w:val="0"/>
      <w:marBottom w:val="0"/>
      <w:divBdr>
        <w:top w:val="none" w:sz="0" w:space="0" w:color="auto"/>
        <w:left w:val="none" w:sz="0" w:space="0" w:color="auto"/>
        <w:bottom w:val="none" w:sz="0" w:space="0" w:color="auto"/>
        <w:right w:val="none" w:sz="0" w:space="0" w:color="auto"/>
      </w:divBdr>
    </w:div>
    <w:div w:id="16515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CCB6-6CCB-4263-91CE-208227AB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gioi so</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Chien</dc:creator>
  <cp:lastModifiedBy>Admin</cp:lastModifiedBy>
  <cp:revision>2</cp:revision>
  <cp:lastPrinted>2021-01-14T07:23:00Z</cp:lastPrinted>
  <dcterms:created xsi:type="dcterms:W3CDTF">2021-01-18T03:54:00Z</dcterms:created>
  <dcterms:modified xsi:type="dcterms:W3CDTF">2021-01-18T03:54:00Z</dcterms:modified>
</cp:coreProperties>
</file>